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bCs/>
          <w:color w:val="auto"/>
          <w:sz w:val="44"/>
          <w:szCs w:val="44"/>
          <w:highlight w:val="none"/>
        </w:rPr>
      </w:pPr>
      <w:r>
        <w:rPr>
          <w:rFonts w:hint="eastAsia" w:ascii="方正小标宋简体" w:hAnsi="宋体" w:eastAsia="方正小标宋简体"/>
          <w:bCs/>
          <w:color w:val="auto"/>
          <w:sz w:val="44"/>
          <w:szCs w:val="44"/>
          <w:highlight w:val="none"/>
        </w:rPr>
        <w:t>行政机关告知书</w:t>
      </w:r>
    </w:p>
    <w:p>
      <w:pPr>
        <w:spacing w:line="600" w:lineRule="exact"/>
        <w:ind w:firstLine="640" w:firstLineChars="200"/>
        <w:rPr>
          <w:rFonts w:eastAsia="仿宋_GB2312"/>
          <w:b/>
          <w:bCs/>
          <w:color w:val="auto"/>
          <w:sz w:val="32"/>
          <w:szCs w:val="32"/>
          <w:highlight w:val="none"/>
        </w:rPr>
      </w:pPr>
      <w:r>
        <w:rPr>
          <w:rFonts w:hAnsi="仿宋_GB2312" w:eastAsia="仿宋_GB2312"/>
          <w:color w:val="auto"/>
          <w:sz w:val="32"/>
          <w:szCs w:val="32"/>
          <w:highlight w:val="none"/>
        </w:rPr>
        <w:t>　　</w:t>
      </w:r>
      <w:r>
        <w:rPr>
          <w:rFonts w:eastAsia="仿宋_GB2312"/>
          <w:color w:val="auto"/>
          <w:sz w:val="32"/>
          <w:szCs w:val="32"/>
          <w:highlight w:val="none"/>
        </w:rPr>
        <w:t xml:space="preserve">                             </w:t>
      </w:r>
    </w:p>
    <w:p>
      <w:pPr>
        <w:spacing w:line="600" w:lineRule="exact"/>
        <w:ind w:right="-512" w:rightChars="-244" w:firstLine="640" w:firstLineChars="200"/>
        <w:contextualSpacing/>
        <w:rPr>
          <w:rFonts w:hAnsi="仿宋_GB2312" w:eastAsia="仿宋_GB2312"/>
          <w:color w:val="auto"/>
          <w:sz w:val="32"/>
          <w:szCs w:val="32"/>
          <w:highlight w:val="none"/>
        </w:rPr>
      </w:pPr>
      <w:r>
        <w:rPr>
          <w:rFonts w:hAnsi="仿宋_GB2312" w:eastAsia="仿宋_GB2312"/>
          <w:color w:val="auto"/>
          <w:sz w:val="32"/>
          <w:szCs w:val="32"/>
          <w:highlight w:val="none"/>
        </w:rPr>
        <w:t>按照《国务院办公厅关于全面推行证明事项和涉企经营许可事项告知承诺制的指导意见》</w:t>
      </w:r>
      <w:r>
        <w:rPr>
          <w:rFonts w:hint="eastAsia" w:hAnsi="仿宋_GB2312" w:eastAsia="仿宋_GB2312"/>
          <w:color w:val="auto"/>
          <w:sz w:val="32"/>
          <w:szCs w:val="32"/>
          <w:highlight w:val="none"/>
        </w:rPr>
        <w:t>（</w:t>
      </w:r>
      <w:r>
        <w:rPr>
          <w:rFonts w:hint="eastAsia" w:ascii="仿宋_GB2312" w:eastAsia="仿宋_GB2312"/>
          <w:color w:val="auto"/>
          <w:sz w:val="32"/>
          <w:szCs w:val="32"/>
          <w:highlight w:val="none"/>
        </w:rPr>
        <w:t>国办发〔2020〕42号</w:t>
      </w:r>
      <w:r>
        <w:rPr>
          <w:rFonts w:hint="eastAsia" w:hAnsi="仿宋_GB2312" w:eastAsia="仿宋_GB2312"/>
          <w:color w:val="auto"/>
          <w:sz w:val="32"/>
          <w:szCs w:val="32"/>
          <w:highlight w:val="none"/>
        </w:rPr>
        <w:t>）和</w:t>
      </w:r>
      <w:r>
        <w:rPr>
          <w:rFonts w:hAnsi="仿宋_GB2312" w:eastAsia="仿宋_GB2312"/>
          <w:color w:val="auto"/>
          <w:sz w:val="32"/>
          <w:szCs w:val="32"/>
          <w:highlight w:val="none"/>
        </w:rPr>
        <w:t>《山东省人民政府办公厅</w:t>
      </w:r>
      <w:r>
        <w:rPr>
          <w:rFonts w:hint="eastAsia" w:hAnsi="仿宋_GB2312" w:eastAsia="仿宋_GB2312"/>
          <w:color w:val="auto"/>
          <w:sz w:val="32"/>
          <w:szCs w:val="32"/>
          <w:highlight w:val="none"/>
        </w:rPr>
        <w:t>关于印发山东省全面推行证明事项告知承诺制实施方案的通知</w:t>
      </w:r>
      <w:r>
        <w:rPr>
          <w:rFonts w:hAnsi="仿宋_GB2312" w:eastAsia="仿宋_GB2312"/>
          <w:color w:val="auto"/>
          <w:sz w:val="32"/>
          <w:szCs w:val="32"/>
          <w:highlight w:val="none"/>
        </w:rPr>
        <w:t>》</w:t>
      </w:r>
      <w:r>
        <w:rPr>
          <w:rFonts w:hint="eastAsia" w:hAnsi="仿宋_GB2312" w:eastAsia="仿宋_GB2312"/>
          <w:color w:val="auto"/>
          <w:sz w:val="32"/>
          <w:szCs w:val="32"/>
          <w:highlight w:val="none"/>
        </w:rPr>
        <w:t>（</w:t>
      </w:r>
      <w:r>
        <w:rPr>
          <w:rFonts w:hint="eastAsia" w:ascii="仿宋_GB2312" w:hAnsi="黑体" w:eastAsia="仿宋_GB2312"/>
          <w:color w:val="auto"/>
          <w:sz w:val="32"/>
          <w:szCs w:val="32"/>
          <w:highlight w:val="none"/>
        </w:rPr>
        <w:t>鲁政办发〔2020〕29号</w:t>
      </w:r>
      <w:r>
        <w:rPr>
          <w:rFonts w:hint="eastAsia" w:hAnsi="仿宋_GB2312" w:eastAsia="仿宋_GB2312"/>
          <w:color w:val="auto"/>
          <w:sz w:val="32"/>
          <w:szCs w:val="32"/>
          <w:highlight w:val="none"/>
        </w:rPr>
        <w:t>）要求</w:t>
      </w:r>
      <w:r>
        <w:rPr>
          <w:rFonts w:hAnsi="仿宋_GB2312" w:eastAsia="仿宋_GB2312"/>
          <w:color w:val="auto"/>
          <w:sz w:val="32"/>
          <w:szCs w:val="32"/>
          <w:highlight w:val="none"/>
        </w:rPr>
        <w:t>，就</w:t>
      </w:r>
      <w:r>
        <w:rPr>
          <w:rFonts w:hint="eastAsia" w:eastAsia="仿宋_GB2312"/>
          <w:color w:val="auto"/>
          <w:sz w:val="32"/>
          <w:szCs w:val="32"/>
          <w:highlight w:val="none"/>
        </w:rPr>
        <w:t>办理行政</w:t>
      </w:r>
      <w:r>
        <w:rPr>
          <w:rFonts w:hAnsi="仿宋_GB2312" w:eastAsia="仿宋_GB2312"/>
          <w:color w:val="auto"/>
          <w:sz w:val="32"/>
          <w:szCs w:val="32"/>
          <w:highlight w:val="none"/>
        </w:rPr>
        <w:t>事项</w:t>
      </w:r>
      <w:r>
        <w:rPr>
          <w:rFonts w:hint="eastAsia" w:hAnsi="仿宋_GB2312" w:eastAsia="仿宋_GB2312"/>
          <w:color w:val="auto"/>
          <w:sz w:val="32"/>
          <w:szCs w:val="32"/>
          <w:highlight w:val="none"/>
        </w:rPr>
        <w:t>时实行证明事项告知承诺制有关内容</w:t>
      </w:r>
      <w:r>
        <w:rPr>
          <w:rFonts w:hAnsi="仿宋_GB2312" w:eastAsia="仿宋_GB2312"/>
          <w:color w:val="auto"/>
          <w:sz w:val="32"/>
          <w:szCs w:val="32"/>
          <w:highlight w:val="none"/>
        </w:rPr>
        <w:t>告知如下：</w:t>
      </w:r>
    </w:p>
    <w:p>
      <w:pPr>
        <w:spacing w:line="600" w:lineRule="exact"/>
        <w:ind w:right="-512" w:rightChars="-244"/>
        <w:contextualSpacing/>
        <w:rPr>
          <w:rFonts w:ascii="楷体_GB2312" w:eastAsia="楷体_GB2312"/>
          <w:color w:val="auto"/>
          <w:sz w:val="32"/>
          <w:szCs w:val="32"/>
          <w:highlight w:val="none"/>
        </w:rPr>
      </w:pPr>
      <w:r>
        <w:rPr>
          <w:rFonts w:hint="eastAsia" w:hAnsi="楷体" w:eastAsia="楷体"/>
          <w:color w:val="auto"/>
          <w:sz w:val="32"/>
          <w:szCs w:val="32"/>
          <w:highlight w:val="none"/>
        </w:rPr>
        <w:t xml:space="preserve">    </w:t>
      </w:r>
      <w:r>
        <w:rPr>
          <w:rFonts w:hint="eastAsia" w:ascii="楷体_GB2312" w:hAnsi="楷体" w:eastAsia="楷体_GB2312"/>
          <w:color w:val="auto"/>
          <w:sz w:val="32"/>
          <w:szCs w:val="32"/>
          <w:highlight w:val="none"/>
        </w:rPr>
        <w:t>（一）行政事项及证明事项名称</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Times New Roman" w:eastAsia="仿宋_GB2312" w:cs="Times New Roman"/>
          <w:b w:val="0"/>
          <w:bCs w:val="0"/>
          <w:color w:val="auto"/>
          <w:sz w:val="32"/>
          <w:szCs w:val="32"/>
          <w:highlight w:val="none"/>
          <w:lang w:val="en-US" w:eastAsia="zh-CN"/>
        </w:rPr>
      </w:pPr>
      <w:r>
        <w:rPr>
          <w:rFonts w:hint="eastAsia" w:ascii="仿宋_GB2312" w:eastAsia="仿宋_GB2312" w:cs="Times New Roman"/>
          <w:b w:val="0"/>
          <w:bCs w:val="0"/>
          <w:color w:val="auto"/>
          <w:sz w:val="32"/>
          <w:szCs w:val="32"/>
          <w:highlight w:val="none"/>
          <w:lang w:val="en-US" w:eastAsia="zh-CN"/>
        </w:rPr>
        <w:t>1.行政事项名称：城建档案利用服务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Times New Roman" w:eastAsia="仿宋_GB2312" w:cs="Times New Roman"/>
          <w:b w:val="0"/>
          <w:bCs w:val="0"/>
          <w:color w:val="auto"/>
          <w:sz w:val="32"/>
          <w:szCs w:val="32"/>
          <w:highlight w:val="none"/>
          <w:lang w:val="en-US" w:eastAsia="zh-CN"/>
        </w:rPr>
      </w:pPr>
      <w:r>
        <w:rPr>
          <w:rFonts w:hint="eastAsia" w:ascii="仿宋_GB2312" w:eastAsia="仿宋_GB2312" w:cs="Times New Roman"/>
          <w:b w:val="0"/>
          <w:bCs w:val="0"/>
          <w:color w:val="auto"/>
          <w:sz w:val="32"/>
          <w:szCs w:val="32"/>
          <w:highlight w:val="none"/>
          <w:lang w:val="en-US" w:eastAsia="zh-CN"/>
        </w:rPr>
        <w:t>2.证明</w:t>
      </w:r>
      <w:r>
        <w:rPr>
          <w:rFonts w:hint="eastAsia" w:ascii="仿宋_GB2312" w:hAnsi="Times New Roman" w:eastAsia="仿宋_GB2312" w:cs="Times New Roman"/>
          <w:b w:val="0"/>
          <w:bCs w:val="0"/>
          <w:color w:val="auto"/>
          <w:sz w:val="32"/>
          <w:szCs w:val="32"/>
          <w:highlight w:val="none"/>
          <w:lang w:val="en-US" w:eastAsia="zh-CN"/>
        </w:rPr>
        <w:t>事项名称</w:t>
      </w:r>
      <w:r>
        <w:rPr>
          <w:rFonts w:hint="eastAsia" w:ascii="仿宋_GB2312" w:eastAsia="仿宋_GB2312" w:cs="Times New Roman"/>
          <w:b w:val="0"/>
          <w:bCs w:val="0"/>
          <w:color w:val="auto"/>
          <w:sz w:val="32"/>
          <w:szCs w:val="32"/>
          <w:highlight w:val="none"/>
          <w:lang w:val="en-US" w:eastAsia="zh-CN"/>
        </w:rPr>
        <w:t>：</w:t>
      </w:r>
      <w:r>
        <w:rPr>
          <w:rFonts w:hint="eastAsia" w:ascii="仿宋_GB2312" w:hAnsi="Times New Roman" w:eastAsia="仿宋_GB2312" w:cs="Times New Roman"/>
          <w:b w:val="0"/>
          <w:bCs w:val="0"/>
          <w:color w:val="auto"/>
          <w:sz w:val="32"/>
          <w:szCs w:val="32"/>
          <w:highlight w:val="none"/>
          <w:lang w:val="en-US" w:eastAsia="zh-CN"/>
        </w:rPr>
        <w:t>中华人民共和国居民身份证</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color w:val="auto"/>
          <w:sz w:val="32"/>
          <w:szCs w:val="32"/>
          <w:highlight w:val="none"/>
        </w:rPr>
      </w:pPr>
      <w:r>
        <w:rPr>
          <w:rFonts w:hint="eastAsia" w:ascii="楷体_GB2312" w:hAnsi="楷体" w:eastAsia="楷体_GB2312"/>
          <w:color w:val="auto"/>
          <w:sz w:val="32"/>
          <w:szCs w:val="32"/>
          <w:highlight w:val="none"/>
        </w:rPr>
        <w:t>（二）行政事项的法定依据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Times New Roman" w:eastAsia="仿宋_GB2312" w:cs="Times New Roman"/>
          <w:b w:val="0"/>
          <w:bCs w:val="0"/>
          <w:color w:val="auto"/>
          <w:sz w:val="32"/>
          <w:szCs w:val="32"/>
          <w:highlight w:val="none"/>
          <w:lang w:val="en-US" w:eastAsia="zh-CN"/>
        </w:rPr>
      </w:pPr>
      <w:r>
        <w:rPr>
          <w:rFonts w:hint="eastAsia" w:ascii="仿宋_GB2312" w:hAnsi="Times New Roman" w:eastAsia="仿宋_GB2312" w:cs="Times New Roman"/>
          <w:b w:val="0"/>
          <w:bCs w:val="0"/>
          <w:color w:val="auto"/>
          <w:sz w:val="32"/>
          <w:szCs w:val="32"/>
          <w:highlight w:val="none"/>
          <w:lang w:val="en-US" w:eastAsia="zh-CN"/>
        </w:rPr>
        <w:t>1.《中华人民共和国档案法》第十九条：“中华人民共和国公民和组织持有合法证明，可以利用已经开放的档案”。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Times New Roman" w:eastAsia="仿宋_GB2312" w:cs="Times New Roman"/>
          <w:b w:val="0"/>
          <w:bCs w:val="0"/>
          <w:color w:val="auto"/>
          <w:sz w:val="32"/>
          <w:szCs w:val="32"/>
          <w:highlight w:val="none"/>
          <w:lang w:val="en-US" w:eastAsia="zh-CN"/>
        </w:rPr>
      </w:pPr>
      <w:r>
        <w:rPr>
          <w:rFonts w:hint="eastAsia" w:ascii="仿宋_GB2312" w:hAnsi="Times New Roman" w:eastAsia="仿宋_GB2312" w:cs="Times New Roman"/>
          <w:b w:val="0"/>
          <w:bCs w:val="0"/>
          <w:color w:val="auto"/>
          <w:sz w:val="32"/>
          <w:szCs w:val="32"/>
          <w:highlight w:val="none"/>
          <w:lang w:val="en-US" w:eastAsia="zh-CN"/>
        </w:rPr>
        <w:t>2.《城市建设档案管理规定》第十条：“城建档案馆应当积极开发档案信息资源，并按照国家的有关规定，向社会提供服务。”</w:t>
      </w:r>
    </w:p>
    <w:p>
      <w:pPr>
        <w:spacing w:line="600" w:lineRule="exact"/>
        <w:ind w:right="-512" w:rightChars="-244"/>
        <w:contextualSpacing/>
        <w:rPr>
          <w:rFonts w:ascii="仿宋_GB2312" w:hAnsi="楷体" w:eastAsia="仿宋_GB2312"/>
          <w:color w:val="auto"/>
          <w:sz w:val="32"/>
          <w:szCs w:val="32"/>
          <w:highlight w:val="none"/>
        </w:rPr>
      </w:pPr>
      <w:r>
        <w:rPr>
          <w:rFonts w:hint="eastAsia" w:ascii="仿宋_GB2312" w:hAnsi="楷体" w:eastAsia="仿宋_GB2312"/>
          <w:color w:val="auto"/>
          <w:sz w:val="32"/>
          <w:szCs w:val="32"/>
          <w:highlight w:val="none"/>
        </w:rPr>
        <w:t xml:space="preserve">    </w:t>
      </w:r>
      <w:r>
        <w:rPr>
          <w:rFonts w:hint="eastAsia" w:ascii="楷体_GB2312" w:hAnsi="楷体" w:eastAsia="楷体_GB2312"/>
          <w:color w:val="auto"/>
          <w:sz w:val="32"/>
          <w:szCs w:val="32"/>
          <w:highlight w:val="none"/>
        </w:rPr>
        <w:t>（三）申请人需要具备的法定条件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Times New Roman" w:eastAsia="仿宋_GB2312" w:cs="Times New Roman"/>
          <w:b w:val="0"/>
          <w:bCs w:val="0"/>
          <w:color w:val="auto"/>
          <w:sz w:val="32"/>
          <w:szCs w:val="32"/>
          <w:highlight w:val="none"/>
          <w:lang w:val="en-US" w:eastAsia="zh-CN"/>
        </w:rPr>
      </w:pPr>
      <w:r>
        <w:rPr>
          <w:rFonts w:hint="default" w:ascii="仿宋_GB2312" w:hAnsi="Times New Roman" w:eastAsia="仿宋_GB2312" w:cs="Times New Roman"/>
          <w:b w:val="0"/>
          <w:bCs w:val="0"/>
          <w:color w:val="auto"/>
          <w:sz w:val="32"/>
          <w:szCs w:val="32"/>
          <w:highlight w:val="none"/>
          <w:lang w:val="en-US" w:eastAsia="zh-CN"/>
        </w:rPr>
        <w:t>中华人民共和国公民和组织持有合法</w:t>
      </w:r>
      <w:r>
        <w:rPr>
          <w:rFonts w:hint="eastAsia" w:ascii="仿宋_GB2312" w:hAnsi="Times New Roman" w:eastAsia="仿宋_GB2312" w:cs="Times New Roman"/>
          <w:b w:val="0"/>
          <w:bCs w:val="0"/>
          <w:color w:val="auto"/>
          <w:sz w:val="32"/>
          <w:szCs w:val="32"/>
          <w:highlight w:val="none"/>
          <w:lang w:val="en-US" w:eastAsia="zh-CN"/>
        </w:rPr>
        <w:t>有效</w:t>
      </w:r>
      <w:r>
        <w:rPr>
          <w:rFonts w:hint="default" w:ascii="仿宋_GB2312" w:hAnsi="Times New Roman" w:eastAsia="仿宋_GB2312" w:cs="Times New Roman"/>
          <w:b w:val="0"/>
          <w:bCs w:val="0"/>
          <w:color w:val="auto"/>
          <w:sz w:val="32"/>
          <w:szCs w:val="32"/>
          <w:highlight w:val="none"/>
          <w:lang w:val="en-US" w:eastAsia="zh-CN"/>
        </w:rPr>
        <w:t>证明，可以利用已经开放的档案。办事对象须知晓本事项相关办理条件，有义务如实提交本人相关信息，并签署《济宁市城市建设档案馆证明事项告知承诺制承诺书》，原则上不允许代为承诺。</w:t>
      </w:r>
    </w:p>
    <w:p>
      <w:pPr>
        <w:numPr>
          <w:ilvl w:val="0"/>
          <w:numId w:val="1"/>
        </w:numPr>
        <w:spacing w:line="600" w:lineRule="exact"/>
        <w:ind w:right="-512" w:rightChars="-244" w:firstLine="640" w:firstLineChars="200"/>
        <w:contextualSpacing/>
        <w:rPr>
          <w:rFonts w:hint="eastAsia"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申请人承诺后免于提交以下材料</w:t>
      </w:r>
    </w:p>
    <w:p>
      <w:pPr>
        <w:numPr>
          <w:numId w:val="0"/>
        </w:numPr>
        <w:spacing w:line="600" w:lineRule="exact"/>
        <w:ind w:right="-512" w:rightChars="-244"/>
        <w:contextualSpacing/>
        <w:rPr>
          <w:rFonts w:hint="default" w:ascii="楷体_GB2312" w:hAnsi="楷体" w:eastAsia="楷体_GB2312"/>
          <w:color w:val="auto"/>
          <w:sz w:val="32"/>
          <w:szCs w:val="32"/>
          <w:highlight w:val="none"/>
          <w:lang w:val="en-US" w:eastAsia="zh-CN"/>
        </w:rPr>
      </w:pPr>
      <w:r>
        <w:rPr>
          <w:rFonts w:hint="eastAsia" w:ascii="楷体_GB2312" w:hAnsi="楷体" w:eastAsia="楷体_GB2312"/>
          <w:color w:val="auto"/>
          <w:sz w:val="32"/>
          <w:szCs w:val="32"/>
          <w:highlight w:val="none"/>
          <w:lang w:val="en-US" w:eastAsia="zh-CN"/>
        </w:rPr>
        <w:t xml:space="preserve">    1.</w:t>
      </w:r>
      <w:r>
        <w:rPr>
          <w:rFonts w:hint="eastAsia" w:ascii="仿宋_GB2312" w:hAnsi="Times New Roman" w:eastAsia="仿宋_GB2312" w:cs="Times New Roman"/>
          <w:b w:val="0"/>
          <w:bCs w:val="0"/>
          <w:color w:val="auto"/>
          <w:sz w:val="32"/>
          <w:szCs w:val="32"/>
          <w:highlight w:val="none"/>
          <w:lang w:val="en-US" w:eastAsia="zh-CN"/>
        </w:rPr>
        <w:t>中华人民共和国居民身份证</w:t>
      </w:r>
    </w:p>
    <w:p>
      <w:pPr>
        <w:numPr>
          <w:numId w:val="0"/>
        </w:numPr>
        <w:spacing w:line="600" w:lineRule="exact"/>
        <w:ind w:right="-512" w:rightChars="-244" w:firstLine="640" w:firstLineChars="200"/>
        <w:contextualSpacing/>
        <w:rPr>
          <w:rFonts w:hint="eastAsia"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（五）承诺的内容与期限</w:t>
      </w:r>
    </w:p>
    <w:p>
      <w:pPr>
        <w:spacing w:line="600" w:lineRule="exact"/>
        <w:ind w:right="-512" w:rightChars="-244" w:firstLine="640" w:firstLineChars="200"/>
        <w:contextualSpacing/>
        <w:rPr>
          <w:rFonts w:hint="eastAsia" w:ascii="仿宋_GB2312" w:eastAsia="仿宋_GB2312"/>
          <w:color w:val="auto"/>
          <w:sz w:val="32"/>
          <w:szCs w:val="32"/>
          <w:highlight w:val="none"/>
          <w:u w:val="single"/>
          <w:lang w:val="en-US" w:eastAsia="zh-CN"/>
        </w:rPr>
      </w:pPr>
      <w:r>
        <w:rPr>
          <w:rFonts w:hint="eastAsia" w:ascii="仿宋_GB2312" w:eastAsia="仿宋_GB2312"/>
          <w:color w:val="auto"/>
          <w:sz w:val="32"/>
          <w:szCs w:val="32"/>
          <w:highlight w:val="none"/>
        </w:rPr>
        <w:t>1.申请人可自主选择是否采用</w:t>
      </w:r>
      <w:r>
        <w:rPr>
          <w:rFonts w:hint="eastAsia" w:ascii="仿宋_GB2312" w:eastAsia="仿宋_GB2312"/>
          <w:color w:val="auto"/>
          <w:sz w:val="32"/>
          <w:szCs w:val="32"/>
          <w:highlight w:val="none"/>
          <w:lang w:eastAsia="zh-CN"/>
        </w:rPr>
        <w:t>证明事项</w:t>
      </w:r>
      <w:r>
        <w:rPr>
          <w:rFonts w:hint="eastAsia" w:ascii="仿宋_GB2312" w:eastAsia="仿宋_GB2312"/>
          <w:color w:val="auto"/>
          <w:sz w:val="32"/>
          <w:szCs w:val="32"/>
          <w:highlight w:val="none"/>
        </w:rPr>
        <w:t>告知承诺制方式办理申请事项，申请人不愿承诺或者无法承诺的，应在</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eastAsia="zh-CN"/>
        </w:rPr>
        <w:t>当</w:t>
      </w:r>
      <w:r>
        <w:rPr>
          <w:rFonts w:hint="eastAsia" w:ascii="仿宋_GB2312" w:eastAsia="仿宋_GB2312"/>
          <w:color w:val="auto"/>
          <w:sz w:val="32"/>
          <w:szCs w:val="32"/>
          <w:highlight w:val="none"/>
        </w:rPr>
        <w:t>日内提交如下证明材料：</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val="en-US" w:eastAsia="zh-CN"/>
        </w:rPr>
        <w:t>1.中华人民共和国居民身份证</w:t>
      </w:r>
    </w:p>
    <w:p>
      <w:pPr>
        <w:spacing w:line="600" w:lineRule="exact"/>
        <w:ind w:right="-512" w:rightChars="-244" w:firstLine="640" w:firstLineChars="200"/>
        <w:contextualSpacing/>
        <w:rPr>
          <w:rFonts w:ascii="仿宋_GB2312" w:eastAsia="仿宋_GB2312"/>
          <w:color w:val="auto"/>
          <w:sz w:val="32"/>
          <w:szCs w:val="32"/>
          <w:highlight w:val="none"/>
        </w:rPr>
      </w:pPr>
      <w:r>
        <w:rPr>
          <w:rFonts w:hint="eastAsia" w:ascii="仿宋_GB2312" w:eastAsia="仿宋_GB2312"/>
          <w:color w:val="auto"/>
          <w:sz w:val="32"/>
          <w:szCs w:val="32"/>
          <w:highlight w:val="none"/>
        </w:rPr>
        <w:t>2.申请人</w:t>
      </w:r>
      <w:r>
        <w:rPr>
          <w:rFonts w:hint="eastAsia" w:ascii="仿宋_GB2312" w:hAnsi="仿宋_GB2312" w:eastAsia="仿宋_GB2312"/>
          <w:color w:val="auto"/>
          <w:sz w:val="32"/>
          <w:szCs w:val="32"/>
          <w:highlight w:val="none"/>
        </w:rPr>
        <w:t>自愿作出符合条件的承诺的，向行政机关提交签字（盖章）的承诺书（一式二份）。</w:t>
      </w:r>
    </w:p>
    <w:p>
      <w:pPr>
        <w:spacing w:line="600" w:lineRule="exact"/>
        <w:ind w:right="-512" w:rightChars="-244"/>
        <w:contextualSpacing/>
        <w:rPr>
          <w:rFonts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 xml:space="preserve">    （六）核查方式</w:t>
      </w:r>
    </w:p>
    <w:p>
      <w:pPr>
        <w:spacing w:line="600" w:lineRule="exact"/>
        <w:ind w:right="-512" w:rightChars="-244" w:firstLine="640" w:firstLineChars="200"/>
        <w:contextualSpacing/>
        <w:rPr>
          <w:rFonts w:ascii="仿宋_GB2312" w:hAnsi="仿宋_GB2312" w:eastAsia="仿宋_GB2312"/>
          <w:color w:val="auto"/>
          <w:sz w:val="32"/>
          <w:szCs w:val="32"/>
          <w:highlight w:val="none"/>
          <w:u w:val="single"/>
        </w:rPr>
      </w:pPr>
      <w:r>
        <w:rPr>
          <w:rFonts w:hint="eastAsia" w:ascii="仿宋_GB2312" w:hAnsi="仿宋_GB2312" w:eastAsia="仿宋_GB2312"/>
          <w:color w:val="auto"/>
          <w:sz w:val="32"/>
          <w:szCs w:val="32"/>
          <w:highlight w:val="none"/>
        </w:rPr>
        <w:t>行政机关在收到申请人生效承诺书后，采取</w:t>
      </w:r>
      <w:r>
        <w:rPr>
          <w:rFonts w:hint="eastAsia" w:ascii="仿宋_GB2312" w:eastAsia="仿宋_GB2312"/>
          <w:color w:val="auto"/>
          <w:sz w:val="32"/>
          <w:szCs w:val="32"/>
          <w:highlight w:val="none"/>
          <w:u w:val="single"/>
        </w:rPr>
        <w:t xml:space="preserve">   </w:t>
      </w:r>
      <w:r>
        <w:rPr>
          <w:rFonts w:hint="eastAsia" w:ascii="仿宋_GB2312" w:eastAsia="仿宋_GB2312"/>
          <w:color w:val="auto"/>
          <w:sz w:val="32"/>
          <w:szCs w:val="32"/>
          <w:highlight w:val="none"/>
          <w:u w:val="single"/>
          <w:lang w:eastAsia="zh-CN"/>
        </w:rPr>
        <w:t>线上核查、现场检查勘验</w:t>
      </w:r>
      <w:r>
        <w:rPr>
          <w:rFonts w:hint="eastAsia" w:ascii="仿宋_GB2312" w:eastAsia="仿宋_GB2312"/>
          <w:color w:val="auto"/>
          <w:sz w:val="32"/>
          <w:szCs w:val="32"/>
          <w:highlight w:val="none"/>
          <w:u w:val="single"/>
        </w:rPr>
        <w:t xml:space="preserve">  </w:t>
      </w:r>
      <w:r>
        <w:rPr>
          <w:rFonts w:hint="eastAsia" w:ascii="仿宋_GB2312" w:hAnsi="仿宋_GB2312" w:eastAsia="仿宋_GB2312"/>
          <w:color w:val="auto"/>
          <w:sz w:val="32"/>
          <w:szCs w:val="32"/>
          <w:highlight w:val="none"/>
        </w:rPr>
        <w:t>方式对申请人承诺内容进行核查。对于无法核实的内容，可以要求办事对象提交必要的相关证明。办理流程和结果接受社会监督举报。</w:t>
      </w:r>
    </w:p>
    <w:p>
      <w:pPr>
        <w:spacing w:line="600" w:lineRule="exact"/>
        <w:ind w:right="-512" w:rightChars="-244"/>
        <w:contextualSpacing/>
        <w:rPr>
          <w:rFonts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 xml:space="preserve">    （七）申请人不实承诺、虚假承诺的法律后果</w:t>
      </w:r>
    </w:p>
    <w:p>
      <w:pPr>
        <w:spacing w:line="600" w:lineRule="exact"/>
        <w:ind w:right="-512" w:rightChars="-244" w:firstLine="640" w:firstLineChars="200"/>
        <w:contextualSpacing/>
        <w:rPr>
          <w:rFonts w:hint="eastAsia" w:ascii="楷体_GB2312" w:hAnsi="楷体" w:eastAsia="楷体_GB2312"/>
          <w:color w:val="auto"/>
          <w:sz w:val="32"/>
          <w:szCs w:val="32"/>
          <w:highlight w:val="none"/>
        </w:rPr>
      </w:pPr>
      <w:r>
        <w:rPr>
          <w:rFonts w:hint="eastAsia" w:ascii="仿宋_GB2312" w:hAnsi="仿宋_GB2312" w:eastAsia="仿宋_GB2312" w:cs="仿宋_GB2312"/>
          <w:color w:val="auto"/>
          <w:sz w:val="32"/>
          <w:szCs w:val="32"/>
          <w:highlight w:val="none"/>
        </w:rPr>
        <w:t>办事对象不符合相关办理条件，或者未按照要求办理相关事项的，不予进行告知承诺和业务办理。办事对象有故意隐瞒真实情况、提供虚假承诺或者以其他不正当手段取得相应证明材料等严重违纪违规行为的，依法依规进行处理，纳入失信人名单并予以公示，记入申请人诚信档案，由相关部门实施联合惩戒，并对该申请人办理相关事项不再适用证明事项告知承诺制。涉及犯罪的移交司法机关处理。</w:t>
      </w:r>
      <w:r>
        <w:rPr>
          <w:rFonts w:hint="eastAsia" w:ascii="楷体_GB2312" w:hAnsi="楷体" w:eastAsia="楷体_GB2312"/>
          <w:color w:val="auto"/>
          <w:sz w:val="32"/>
          <w:szCs w:val="32"/>
          <w:highlight w:val="none"/>
        </w:rPr>
        <w:t xml:space="preserve"> </w:t>
      </w:r>
    </w:p>
    <w:p>
      <w:pPr>
        <w:spacing w:line="600" w:lineRule="exact"/>
        <w:ind w:right="-512" w:rightChars="-244" w:firstLine="640" w:firstLineChars="200"/>
        <w:contextualSpacing/>
        <w:rPr>
          <w:rFonts w:hint="eastAsia" w:ascii="楷体_GB2312" w:hAnsi="楷体" w:eastAsia="楷体_GB2312"/>
          <w:color w:val="auto"/>
          <w:sz w:val="32"/>
          <w:szCs w:val="32"/>
          <w:highlight w:val="none"/>
          <w:lang w:eastAsia="zh-CN"/>
        </w:rPr>
      </w:pPr>
      <w:r>
        <w:rPr>
          <w:rFonts w:hint="eastAsia" w:ascii="楷体_GB2312" w:hAnsi="楷体" w:eastAsia="楷体_GB2312"/>
          <w:color w:val="auto"/>
          <w:sz w:val="32"/>
          <w:szCs w:val="32"/>
          <w:highlight w:val="none"/>
        </w:rPr>
        <w:t xml:space="preserve"> </w:t>
      </w:r>
      <w:r>
        <w:rPr>
          <w:rFonts w:hint="eastAsia" w:ascii="楷体_GB2312" w:hAnsi="楷体" w:eastAsia="楷体_GB2312"/>
          <w:color w:val="auto"/>
          <w:sz w:val="32"/>
          <w:szCs w:val="32"/>
          <w:highlight w:val="none"/>
          <w:lang w:eastAsia="zh-CN"/>
        </w:rPr>
        <w:t>（八）不适用告知承诺制的情况</w:t>
      </w:r>
    </w:p>
    <w:p>
      <w:pPr>
        <w:spacing w:line="600" w:lineRule="exact"/>
        <w:ind w:right="-512" w:rightChars="-244" w:firstLine="640" w:firstLineChars="200"/>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办事对象有较严重的不良信用记录或曾作出虚假承诺的，不适用告知承诺制。上述办事对象须按《城建档案利用服务办事指南》中的规定办理相关事项。</w:t>
      </w:r>
    </w:p>
    <w:p>
      <w:pPr>
        <w:spacing w:line="600" w:lineRule="exact"/>
        <w:ind w:right="-512" w:rightChars="-244" w:firstLine="640" w:firstLineChars="200"/>
        <w:contextualSpacing/>
        <w:rPr>
          <w:rFonts w:hint="eastAsia" w:ascii="楷体_GB2312" w:hAnsi="楷体" w:eastAsia="楷体_GB2312"/>
          <w:color w:val="auto"/>
          <w:sz w:val="32"/>
          <w:szCs w:val="32"/>
          <w:highlight w:val="none"/>
        </w:rPr>
      </w:pPr>
      <w:r>
        <w:rPr>
          <w:rFonts w:hint="eastAsia" w:ascii="楷体_GB2312" w:hAnsi="楷体" w:eastAsia="楷体_GB2312"/>
          <w:color w:val="auto"/>
          <w:sz w:val="32"/>
          <w:szCs w:val="32"/>
          <w:highlight w:val="none"/>
        </w:rPr>
        <w:t>（</w:t>
      </w:r>
      <w:r>
        <w:rPr>
          <w:rFonts w:hint="eastAsia" w:ascii="楷体_GB2312" w:hAnsi="楷体" w:eastAsia="楷体_GB2312"/>
          <w:color w:val="auto"/>
          <w:sz w:val="32"/>
          <w:szCs w:val="32"/>
          <w:highlight w:val="none"/>
          <w:lang w:eastAsia="zh-CN"/>
        </w:rPr>
        <w:t>九</w:t>
      </w:r>
      <w:r>
        <w:rPr>
          <w:rFonts w:hint="eastAsia" w:ascii="楷体_GB2312" w:hAnsi="楷体" w:eastAsia="楷体_GB2312"/>
          <w:color w:val="auto"/>
          <w:sz w:val="32"/>
          <w:szCs w:val="32"/>
          <w:highlight w:val="none"/>
        </w:rPr>
        <w:t>）承诺书不公开。</w:t>
      </w:r>
      <w:bookmarkStart w:id="0" w:name="_GoBack"/>
      <w:bookmarkEnd w:id="0"/>
    </w:p>
    <w:p>
      <w:pPr>
        <w:spacing w:line="600" w:lineRule="exact"/>
        <w:ind w:right="-512" w:rightChars="-244"/>
        <w:contextualSpacing/>
        <w:rPr>
          <w:rFonts w:ascii="楷体_GB2312" w:hAnsi="楷体" w:eastAsia="楷体_GB2312"/>
          <w:color w:val="auto"/>
          <w:sz w:val="32"/>
          <w:szCs w:val="32"/>
          <w:highlight w:val="none"/>
        </w:rPr>
      </w:pPr>
    </w:p>
    <w:p>
      <w:pPr>
        <w:spacing w:line="600" w:lineRule="exact"/>
        <w:ind w:right="-512" w:rightChars="-244"/>
        <w:contextualSpacing/>
        <w:rPr>
          <w:rFonts w:eastAsia="仿宋_GB2312"/>
          <w:color w:val="auto"/>
          <w:sz w:val="32"/>
          <w:szCs w:val="32"/>
          <w:highlight w:val="none"/>
        </w:rPr>
      </w:pPr>
      <w:r>
        <w:rPr>
          <w:rFonts w:hint="eastAsia" w:hAnsi="仿宋_GB2312" w:eastAsia="仿宋_GB2312"/>
          <w:color w:val="auto"/>
          <w:sz w:val="32"/>
          <w:szCs w:val="32"/>
          <w:highlight w:val="none"/>
        </w:rPr>
        <w:t xml:space="preserve">                                 行政</w:t>
      </w:r>
      <w:r>
        <w:rPr>
          <w:rFonts w:hAnsi="仿宋_GB2312" w:eastAsia="仿宋_GB2312"/>
          <w:color w:val="auto"/>
          <w:sz w:val="32"/>
          <w:szCs w:val="32"/>
          <w:highlight w:val="none"/>
        </w:rPr>
        <w:t>机关</w:t>
      </w:r>
      <w:r>
        <w:rPr>
          <w:rFonts w:hint="eastAsia" w:hAnsi="仿宋_GB2312" w:eastAsia="仿宋_GB2312"/>
          <w:color w:val="auto"/>
          <w:sz w:val="32"/>
          <w:szCs w:val="32"/>
          <w:highlight w:val="none"/>
        </w:rPr>
        <w:t>（盖章）</w:t>
      </w:r>
      <w:r>
        <w:rPr>
          <w:rFonts w:hAnsi="仿宋_GB2312" w:eastAsia="仿宋_GB2312"/>
          <w:color w:val="auto"/>
          <w:sz w:val="32"/>
          <w:szCs w:val="32"/>
          <w:highlight w:val="none"/>
        </w:rPr>
        <w:t>：</w:t>
      </w:r>
    </w:p>
    <w:p>
      <w:pPr>
        <w:spacing w:line="600" w:lineRule="exact"/>
        <w:ind w:right="-512" w:rightChars="-244"/>
        <w:contextualSpacing/>
        <w:rPr>
          <w:rFonts w:eastAsia="仿宋_GB2312"/>
          <w:color w:val="auto"/>
          <w:sz w:val="32"/>
          <w:szCs w:val="32"/>
          <w:highlight w:val="none"/>
        </w:rPr>
      </w:pPr>
      <w:r>
        <w:rPr>
          <w:rFonts w:hint="eastAsia" w:hAnsi="仿宋_GB2312" w:eastAsia="仿宋_GB2312"/>
          <w:color w:val="auto"/>
          <w:sz w:val="32"/>
          <w:szCs w:val="32"/>
          <w:highlight w:val="none"/>
        </w:rPr>
        <w:t xml:space="preserve">                                 </w:t>
      </w:r>
      <w:r>
        <w:rPr>
          <w:rFonts w:hAnsi="仿宋_GB2312" w:eastAsia="仿宋_GB2312"/>
          <w:color w:val="auto"/>
          <w:sz w:val="32"/>
          <w:szCs w:val="32"/>
          <w:highlight w:val="none"/>
        </w:rPr>
        <w:t>经</w:t>
      </w:r>
      <w:r>
        <w:rPr>
          <w:rFonts w:eastAsia="仿宋_GB2312"/>
          <w:color w:val="auto"/>
          <w:sz w:val="32"/>
          <w:szCs w:val="32"/>
          <w:highlight w:val="none"/>
        </w:rPr>
        <w:t xml:space="preserve"> </w:t>
      </w:r>
      <w:r>
        <w:rPr>
          <w:rFonts w:hAnsi="仿宋_GB2312" w:eastAsia="仿宋_GB2312"/>
          <w:color w:val="auto"/>
          <w:sz w:val="32"/>
          <w:szCs w:val="32"/>
          <w:highlight w:val="none"/>
        </w:rPr>
        <w:t>办</w:t>
      </w:r>
      <w:r>
        <w:rPr>
          <w:rFonts w:eastAsia="仿宋_GB2312"/>
          <w:color w:val="auto"/>
          <w:sz w:val="32"/>
          <w:szCs w:val="32"/>
          <w:highlight w:val="none"/>
        </w:rPr>
        <w:t xml:space="preserve"> </w:t>
      </w:r>
      <w:r>
        <w:rPr>
          <w:rFonts w:hAnsi="仿宋_GB2312" w:eastAsia="仿宋_GB2312"/>
          <w:color w:val="auto"/>
          <w:sz w:val="32"/>
          <w:szCs w:val="32"/>
          <w:highlight w:val="none"/>
        </w:rPr>
        <w:t>人：</w:t>
      </w:r>
    </w:p>
    <w:p>
      <w:pPr>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F3615F"/>
    <w:multiLevelType w:val="singleLevel"/>
    <w:tmpl w:val="7FF3615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9BE"/>
    <w:rsid w:val="0003270A"/>
    <w:rsid w:val="002A522A"/>
    <w:rsid w:val="00A679BE"/>
    <w:rsid w:val="00ED2AD8"/>
    <w:rsid w:val="0C306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548</Characters>
  <Lines>4</Lines>
  <Paragraphs>1</Paragraphs>
  <TotalTime>4</TotalTime>
  <ScaleCrop>false</ScaleCrop>
  <LinksUpToDate>false</LinksUpToDate>
  <CharactersWithSpaces>642</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2021-07-06T03:42:00Z</dcterms:created>
  <dc:creator>cj cj</dc:creator>
  <cp:lastModifiedBy>NTKO</cp:lastModifiedBy>
  <dcterms:modified xsi:type="dcterms:W3CDTF">2021-07-08T07:40:57Z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63E70DDD6A014A1088233DF2EAC98CAB</vt:lpwstr>
  </property>
</Properties>
</file>