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sz w:val="40"/>
          <w:szCs w:val="44"/>
        </w:rPr>
      </w:pPr>
    </w:p>
    <w:p>
      <w:pPr>
        <w:spacing w:line="600" w:lineRule="exact"/>
        <w:jc w:val="center"/>
        <w:rPr>
          <w:rFonts w:ascii="方正小标宋简体" w:hAnsi="方正小标宋简体" w:eastAsia="方正小标宋简体"/>
          <w:sz w:val="40"/>
          <w:szCs w:val="44"/>
        </w:rPr>
      </w:pPr>
      <w:r>
        <w:rPr>
          <w:rFonts w:hint="eastAsia" w:ascii="方正小标宋简体" w:hAnsi="方正小标宋简体" w:eastAsia="方正小标宋简体"/>
          <w:sz w:val="40"/>
          <w:szCs w:val="44"/>
        </w:rPr>
        <w:t>济宁市房屋建筑和市政基础设施工程</w:t>
      </w:r>
    </w:p>
    <w:p>
      <w:pPr>
        <w:spacing w:line="600" w:lineRule="exact"/>
        <w:jc w:val="center"/>
        <w:rPr>
          <w:rFonts w:ascii="方正小标宋简体" w:hAnsi="方正小标宋简体" w:eastAsia="方正小标宋简体"/>
          <w:sz w:val="40"/>
          <w:szCs w:val="44"/>
        </w:rPr>
      </w:pPr>
      <w:r>
        <w:rPr>
          <w:rFonts w:hint="eastAsia" w:ascii="方正小标宋简体" w:hAnsi="方正小标宋简体" w:eastAsia="方正小标宋简体"/>
          <w:sz w:val="40"/>
          <w:szCs w:val="44"/>
        </w:rPr>
        <w:t>质量检测信用管理办法</w:t>
      </w:r>
    </w:p>
    <w:p>
      <w:pPr>
        <w:spacing w:line="600" w:lineRule="exact"/>
        <w:jc w:val="center"/>
        <w:rPr>
          <w:rFonts w:hint="eastAsia" w:ascii="方正小标宋简体" w:hAnsi="方正小标宋简体" w:eastAsia="方正小标宋简体"/>
          <w:sz w:val="40"/>
          <w:szCs w:val="44"/>
        </w:rPr>
      </w:pPr>
      <w:r>
        <w:rPr>
          <w:rFonts w:hint="eastAsia" w:ascii="方正小标宋简体" w:hAnsi="方正小标宋简体" w:eastAsia="方正小标宋简体"/>
          <w:sz w:val="40"/>
          <w:szCs w:val="44"/>
        </w:rPr>
        <w:t>（征求意见稿）</w:t>
      </w:r>
    </w:p>
    <w:p>
      <w:pPr>
        <w:spacing w:before="289" w:beforeLines="50" w:after="289" w:afterLines="50"/>
        <w:jc w:val="center"/>
        <w:rPr>
          <w:rFonts w:ascii="黑体" w:hAnsi="黑体" w:eastAsia="黑体"/>
          <w:sz w:val="32"/>
          <w:szCs w:val="36"/>
        </w:rPr>
      </w:pPr>
      <w:r>
        <w:rPr>
          <w:rFonts w:hint="eastAsia" w:ascii="黑体" w:hAnsi="黑体" w:eastAsia="黑体"/>
          <w:sz w:val="32"/>
          <w:szCs w:val="36"/>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 xml:space="preserve">第一条 </w:t>
      </w:r>
      <w:r>
        <w:rPr>
          <w:rFonts w:ascii="黑体" w:hAnsi="黑体" w:eastAsia="黑体"/>
          <w:sz w:val="32"/>
          <w:szCs w:val="36"/>
        </w:rPr>
        <w:t xml:space="preserve"> </w:t>
      </w:r>
      <w:r>
        <w:rPr>
          <w:rFonts w:ascii="仿宋" w:hAnsi="仿宋" w:eastAsia="仿宋"/>
          <w:sz w:val="32"/>
          <w:szCs w:val="36"/>
        </w:rPr>
        <w:t>为进一步规范房屋建筑和市政基础设施工程质量检测市场秩序，营造公平竞争、诚信守法的市场环境，根据《住房和城乡建设部关于印发建筑市场信用管理暂行办法的通知》《山东省建筑市场信用管理办法》</w:t>
      </w:r>
      <w:r>
        <w:rPr>
          <w:rFonts w:hint="eastAsia" w:ascii="仿宋" w:hAnsi="仿宋" w:eastAsia="仿宋"/>
          <w:sz w:val="32"/>
          <w:szCs w:val="36"/>
        </w:rPr>
        <w:t>《山东省房屋建筑和市政基础设施工程质量检测信用管理办法》《济宁市建筑市场信用管理办法》</w:t>
      </w:r>
      <w:r>
        <w:rPr>
          <w:rFonts w:ascii="仿宋" w:hAnsi="仿宋" w:eastAsia="仿宋"/>
          <w:sz w:val="32"/>
          <w:szCs w:val="36"/>
        </w:rPr>
        <w:t>等规定，结合</w:t>
      </w:r>
      <w:r>
        <w:rPr>
          <w:rFonts w:hint="eastAsia" w:ascii="仿宋" w:hAnsi="仿宋" w:eastAsia="仿宋"/>
          <w:sz w:val="32"/>
          <w:szCs w:val="36"/>
        </w:rPr>
        <w:t>本市</w:t>
      </w:r>
      <w:r>
        <w:rPr>
          <w:rFonts w:ascii="仿宋" w:hAnsi="仿宋" w:eastAsia="仿宋"/>
          <w:sz w:val="32"/>
          <w:szCs w:val="36"/>
        </w:rPr>
        <w:t>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第二条</w:t>
      </w:r>
      <w:r>
        <w:rPr>
          <w:rFonts w:ascii="黑体" w:hAnsi="黑体" w:eastAsia="黑体"/>
          <w:sz w:val="32"/>
          <w:szCs w:val="36"/>
        </w:rPr>
        <w:t xml:space="preserve">  </w:t>
      </w:r>
      <w:r>
        <w:rPr>
          <w:rFonts w:ascii="仿宋" w:hAnsi="仿宋" w:eastAsia="仿宋"/>
          <w:sz w:val="32"/>
          <w:szCs w:val="36"/>
        </w:rPr>
        <w:t>在</w:t>
      </w:r>
      <w:r>
        <w:rPr>
          <w:rFonts w:hint="eastAsia" w:ascii="仿宋" w:hAnsi="仿宋" w:eastAsia="仿宋"/>
          <w:sz w:val="32"/>
          <w:szCs w:val="36"/>
        </w:rPr>
        <w:t>本市</w:t>
      </w:r>
      <w:r>
        <w:rPr>
          <w:rFonts w:ascii="仿宋" w:hAnsi="仿宋" w:eastAsia="仿宋"/>
          <w:sz w:val="32"/>
          <w:szCs w:val="36"/>
        </w:rPr>
        <w:t>行政区域内，从事房屋建筑和市政基础设施工程质量检测（以下简称质量检测）活动的检测机构和人员的信用管理，适用本办法。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第三条</w:t>
      </w:r>
      <w:r>
        <w:rPr>
          <w:rFonts w:ascii="黑体" w:hAnsi="黑体" w:eastAsia="黑体"/>
          <w:sz w:val="32"/>
          <w:szCs w:val="36"/>
        </w:rPr>
        <w:t xml:space="preserve">  </w:t>
      </w:r>
      <w:r>
        <w:rPr>
          <w:rFonts w:ascii="仿宋" w:hAnsi="仿宋" w:eastAsia="仿宋"/>
          <w:sz w:val="32"/>
          <w:szCs w:val="36"/>
        </w:rPr>
        <w:t>本办法所称信用管理，是指对检测机构和人员在检测活动中的信用信息进行采集、认定、评价、公开、使用及监督管理。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第四条</w:t>
      </w:r>
      <w:r>
        <w:rPr>
          <w:rFonts w:ascii="黑体" w:hAnsi="黑体" w:eastAsia="黑体"/>
          <w:sz w:val="32"/>
          <w:szCs w:val="36"/>
        </w:rPr>
        <w:t xml:space="preserve">  </w:t>
      </w:r>
      <w:r>
        <w:rPr>
          <w:rFonts w:hint="eastAsia" w:ascii="仿宋" w:hAnsi="仿宋" w:eastAsia="仿宋"/>
          <w:sz w:val="32"/>
          <w:szCs w:val="36"/>
        </w:rPr>
        <w:t>市住建局</w:t>
      </w:r>
      <w:r>
        <w:rPr>
          <w:rFonts w:ascii="仿宋" w:hAnsi="仿宋" w:eastAsia="仿宋"/>
          <w:sz w:val="32"/>
          <w:szCs w:val="36"/>
        </w:rPr>
        <w:t>负责</w:t>
      </w:r>
      <w:r>
        <w:rPr>
          <w:rFonts w:hint="eastAsia" w:ascii="仿宋" w:hAnsi="仿宋" w:eastAsia="仿宋"/>
          <w:sz w:val="32"/>
          <w:szCs w:val="36"/>
        </w:rPr>
        <w:t>全市</w:t>
      </w:r>
      <w:r>
        <w:rPr>
          <w:rFonts w:ascii="仿宋" w:hAnsi="仿宋" w:eastAsia="仿宋"/>
          <w:sz w:val="32"/>
          <w:szCs w:val="36"/>
        </w:rPr>
        <w:t>质量检测信用管理工作，制定信用管理制度和信用评价标准，依托“</w:t>
      </w:r>
      <w:r>
        <w:rPr>
          <w:rFonts w:hint="eastAsia" w:ascii="仿宋" w:hAnsi="仿宋" w:eastAsia="仿宋"/>
          <w:sz w:val="32"/>
          <w:szCs w:val="36"/>
        </w:rPr>
        <w:t>济宁市建筑市场监管与诚信信息一体化平台</w:t>
      </w:r>
      <w:r>
        <w:rPr>
          <w:rFonts w:ascii="仿宋" w:hAnsi="仿宋" w:eastAsia="仿宋"/>
          <w:sz w:val="32"/>
          <w:szCs w:val="36"/>
        </w:rPr>
        <w:t>”（以下简称“</w:t>
      </w:r>
      <w:r>
        <w:rPr>
          <w:rFonts w:hint="eastAsia" w:ascii="仿宋" w:hAnsi="仿宋" w:eastAsia="仿宋"/>
          <w:sz w:val="32"/>
          <w:szCs w:val="36"/>
        </w:rPr>
        <w:t>市一体化平台</w:t>
      </w:r>
      <w:r>
        <w:rPr>
          <w:rFonts w:ascii="仿宋" w:hAnsi="仿宋" w:eastAsia="仿宋"/>
          <w:sz w:val="32"/>
          <w:szCs w:val="36"/>
        </w:rPr>
        <w:t>”），公开发布检测机构和人员信用评价结果，指导</w:t>
      </w:r>
      <w:r>
        <w:rPr>
          <w:rFonts w:hint="eastAsia" w:ascii="仿宋" w:hAnsi="仿宋" w:eastAsia="仿宋"/>
          <w:sz w:val="32"/>
          <w:szCs w:val="36"/>
        </w:rPr>
        <w:t>县（市、区）</w:t>
      </w:r>
      <w:r>
        <w:rPr>
          <w:rFonts w:ascii="仿宋" w:hAnsi="仿宋" w:eastAsia="仿宋"/>
          <w:sz w:val="32"/>
          <w:szCs w:val="36"/>
        </w:rPr>
        <w:t>住房城乡建设主管部门开展质量检测信用管理工作</w:t>
      </w:r>
      <w:r>
        <w:rPr>
          <w:rFonts w:hint="eastAsia" w:ascii="仿宋" w:hAnsi="仿宋" w:eastAsia="仿宋"/>
          <w:sz w:val="32"/>
          <w:szCs w:val="36"/>
        </w:rPr>
        <w:t>，并向“山东省住房城乡建设服务监管与信用信息综合平台”（以下简称“省平台”）推送检测机构和人员信用信息。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各县（市、区）住房城乡建设主管部门负责本行政区域内质量检测信用管理工作，</w:t>
      </w:r>
      <w:r>
        <w:rPr>
          <w:rFonts w:ascii="仿宋" w:hAnsi="仿宋" w:eastAsia="仿宋"/>
          <w:sz w:val="32"/>
          <w:szCs w:val="36"/>
        </w:rPr>
        <w:t>依托“</w:t>
      </w:r>
      <w:r>
        <w:rPr>
          <w:rFonts w:hint="eastAsia" w:ascii="仿宋" w:hAnsi="仿宋" w:eastAsia="仿宋"/>
          <w:sz w:val="32"/>
          <w:szCs w:val="36"/>
        </w:rPr>
        <w:t>市一体化平台</w:t>
      </w:r>
      <w:r>
        <w:rPr>
          <w:rFonts w:ascii="仿宋" w:hAnsi="仿宋" w:eastAsia="仿宋"/>
          <w:sz w:val="32"/>
          <w:szCs w:val="36"/>
        </w:rPr>
        <w:t>”，</w:t>
      </w:r>
      <w:r>
        <w:rPr>
          <w:rFonts w:hint="eastAsia" w:ascii="仿宋" w:hAnsi="仿宋" w:eastAsia="仿宋"/>
          <w:sz w:val="32"/>
          <w:szCs w:val="36"/>
        </w:rPr>
        <w:t>及时审核录入信用信息。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第五条</w:t>
      </w:r>
      <w:r>
        <w:rPr>
          <w:rFonts w:ascii="黑体" w:hAnsi="黑体" w:eastAsia="黑体"/>
          <w:sz w:val="32"/>
          <w:szCs w:val="36"/>
        </w:rPr>
        <w:t xml:space="preserve">  </w:t>
      </w:r>
      <w:r>
        <w:rPr>
          <w:rFonts w:ascii="仿宋" w:hAnsi="仿宋" w:eastAsia="仿宋"/>
          <w:sz w:val="32"/>
          <w:szCs w:val="36"/>
        </w:rPr>
        <w:t>检测机构和人员的信用管理遵循公平、公正、公开的原则，以市场信用建设为主导，以政府监督管理为主要手段，实行标准统一、量化考核、动态监管、社会监督的评价制度，构建诚信激励和失信惩戒机制。</w:t>
      </w:r>
    </w:p>
    <w:p>
      <w:pPr>
        <w:keepNext w:val="0"/>
        <w:keepLines w:val="0"/>
        <w:pageBreakBefore w:val="0"/>
        <w:widowControl w:val="0"/>
        <w:kinsoku/>
        <w:wordWrap/>
        <w:overflowPunct/>
        <w:topLinePunct w:val="0"/>
        <w:autoSpaceDE/>
        <w:autoSpaceDN/>
        <w:bidi w:val="0"/>
        <w:adjustRightInd/>
        <w:snapToGrid/>
        <w:spacing w:before="289" w:beforeLines="50" w:after="289" w:afterLines="50" w:line="600" w:lineRule="exact"/>
        <w:jc w:val="center"/>
        <w:textAlignment w:val="auto"/>
        <w:rPr>
          <w:rFonts w:ascii="黑体" w:hAnsi="黑体" w:eastAsia="黑体"/>
          <w:sz w:val="32"/>
          <w:szCs w:val="36"/>
        </w:rPr>
      </w:pPr>
      <w:r>
        <w:rPr>
          <w:rFonts w:hint="eastAsia" w:ascii="黑体" w:hAnsi="黑体" w:eastAsia="黑体"/>
          <w:sz w:val="32"/>
          <w:szCs w:val="36"/>
        </w:rPr>
        <w:t>第二章</w:t>
      </w:r>
      <w:r>
        <w:rPr>
          <w:rFonts w:ascii="黑体" w:hAnsi="黑体" w:eastAsia="黑体"/>
          <w:sz w:val="32"/>
          <w:szCs w:val="36"/>
        </w:rPr>
        <w:t xml:space="preserve"> 信用信息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第六条</w:t>
      </w:r>
      <w:r>
        <w:rPr>
          <w:rFonts w:ascii="黑体" w:hAnsi="黑体" w:eastAsia="黑体"/>
          <w:sz w:val="32"/>
          <w:szCs w:val="36"/>
        </w:rPr>
        <w:t xml:space="preserve">  </w:t>
      </w:r>
      <w:r>
        <w:rPr>
          <w:rFonts w:ascii="仿宋" w:hAnsi="仿宋" w:eastAsia="仿宋"/>
          <w:sz w:val="32"/>
          <w:szCs w:val="36"/>
        </w:rPr>
        <w:t>本办法所称信用信息由检测机构和人员的基本信息、优良信用信息、不良信用信息构成。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第七条</w:t>
      </w:r>
      <w:r>
        <w:rPr>
          <w:rFonts w:ascii="黑体" w:hAnsi="黑体" w:eastAsia="黑体"/>
          <w:sz w:val="32"/>
          <w:szCs w:val="36"/>
        </w:rPr>
        <w:t xml:space="preserve">  </w:t>
      </w:r>
      <w:r>
        <w:rPr>
          <w:rFonts w:ascii="仿宋" w:hAnsi="仿宋" w:eastAsia="仿宋"/>
          <w:sz w:val="32"/>
          <w:szCs w:val="36"/>
        </w:rPr>
        <w:t>检测机构基本信息包括检测机构名称、统一社会信用代码、资质信息等；检测人员基本信息包括检测人员姓名、身份证号码、工作单位、学历、职称等。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第八条</w:t>
      </w:r>
      <w:r>
        <w:rPr>
          <w:rFonts w:ascii="黑体" w:hAnsi="黑体" w:eastAsia="黑体"/>
          <w:sz w:val="32"/>
          <w:szCs w:val="36"/>
        </w:rPr>
        <w:t xml:space="preserve">  </w:t>
      </w:r>
      <w:r>
        <w:rPr>
          <w:rFonts w:ascii="仿宋" w:hAnsi="仿宋" w:eastAsia="仿宋"/>
          <w:sz w:val="32"/>
          <w:szCs w:val="36"/>
        </w:rPr>
        <w:t>优良信用信息是指检测机构和人员在工程建设活动中取得科研成果、获得市级以上行政机关和合法群团组织依法合规设立的表彰奖励等信息，以及有关部门认定的其他优良信用信息。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第九条</w:t>
      </w:r>
      <w:r>
        <w:rPr>
          <w:rFonts w:ascii="黑体" w:hAnsi="黑体" w:eastAsia="黑体"/>
          <w:sz w:val="32"/>
          <w:szCs w:val="36"/>
        </w:rPr>
        <w:t xml:space="preserve">  </w:t>
      </w:r>
      <w:r>
        <w:rPr>
          <w:rFonts w:ascii="仿宋" w:hAnsi="仿宋" w:eastAsia="仿宋"/>
          <w:sz w:val="32"/>
          <w:szCs w:val="36"/>
        </w:rPr>
        <w:t>不良信用信息是指检测机构和人员在工程质量检测活动中违反有关法律、法规、规章或工程建设强制性标准等，受到县级以上住房城乡建设主管部门行政处罚、处理等信息，以及经有关部门认定的其他不良信用信息。</w:t>
      </w:r>
    </w:p>
    <w:p>
      <w:pPr>
        <w:keepNext w:val="0"/>
        <w:keepLines w:val="0"/>
        <w:pageBreakBefore w:val="0"/>
        <w:widowControl w:val="0"/>
        <w:kinsoku/>
        <w:wordWrap/>
        <w:overflowPunct/>
        <w:topLinePunct w:val="0"/>
        <w:autoSpaceDE/>
        <w:autoSpaceDN/>
        <w:bidi w:val="0"/>
        <w:adjustRightInd/>
        <w:snapToGrid/>
        <w:spacing w:before="289" w:beforeLines="50" w:after="289" w:afterLines="50" w:line="600" w:lineRule="exact"/>
        <w:jc w:val="center"/>
        <w:textAlignment w:val="auto"/>
        <w:rPr>
          <w:rFonts w:ascii="黑体" w:hAnsi="黑体" w:eastAsia="黑体"/>
          <w:sz w:val="32"/>
          <w:szCs w:val="36"/>
        </w:rPr>
      </w:pPr>
      <w:r>
        <w:rPr>
          <w:rFonts w:hint="eastAsia" w:ascii="黑体" w:hAnsi="黑体" w:eastAsia="黑体"/>
          <w:sz w:val="32"/>
          <w:szCs w:val="36"/>
        </w:rPr>
        <w:t>第三章</w:t>
      </w:r>
      <w:r>
        <w:rPr>
          <w:rFonts w:ascii="黑体" w:hAnsi="黑体" w:eastAsia="黑体"/>
          <w:sz w:val="32"/>
          <w:szCs w:val="36"/>
        </w:rPr>
        <w:t xml:space="preserve">  信用信息的采集认定与公开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第十条</w:t>
      </w:r>
      <w:r>
        <w:rPr>
          <w:rFonts w:ascii="黑体" w:hAnsi="黑体" w:eastAsia="黑体"/>
          <w:sz w:val="32"/>
          <w:szCs w:val="36"/>
        </w:rPr>
        <w:t xml:space="preserve">  </w:t>
      </w:r>
      <w:r>
        <w:rPr>
          <w:rFonts w:ascii="仿宋" w:hAnsi="仿宋" w:eastAsia="仿宋"/>
          <w:sz w:val="32"/>
          <w:szCs w:val="36"/>
        </w:rPr>
        <w:t>信用信息实行检测机构和人员自行申报、各级住房城乡建设主管部门报送、其他行政和司法机关抄送、委托单位举报等合法方式进行采集获取。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第十一条</w:t>
      </w:r>
      <w:r>
        <w:rPr>
          <w:rFonts w:ascii="黑体" w:hAnsi="黑体" w:eastAsia="黑体"/>
          <w:sz w:val="32"/>
          <w:szCs w:val="36"/>
        </w:rPr>
        <w:t xml:space="preserve">  </w:t>
      </w:r>
      <w:r>
        <w:rPr>
          <w:rFonts w:ascii="仿宋" w:hAnsi="仿宋" w:eastAsia="仿宋"/>
          <w:sz w:val="32"/>
          <w:szCs w:val="36"/>
        </w:rPr>
        <w:t>检测机构和人员的基本信息和良好信用信息由检测机构自行申报并提供相关证明文件，对其真实性负责。</w:t>
      </w:r>
      <w:r>
        <w:rPr>
          <w:rFonts w:hint="eastAsia" w:ascii="仿宋" w:hAnsi="仿宋" w:eastAsia="仿宋"/>
          <w:sz w:val="32"/>
          <w:szCs w:val="36"/>
        </w:rPr>
        <w:t>市住建局</w:t>
      </w:r>
      <w:r>
        <w:rPr>
          <w:rFonts w:ascii="仿宋" w:hAnsi="仿宋" w:eastAsia="仿宋"/>
          <w:sz w:val="32"/>
          <w:szCs w:val="36"/>
        </w:rPr>
        <w:t>负责对本行政区域内从事质量检测活动的检测机构和人员的基本信息和良好信用信息进行审核。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第十二条</w:t>
      </w:r>
      <w:r>
        <w:rPr>
          <w:rFonts w:ascii="黑体" w:hAnsi="黑体" w:eastAsia="黑体"/>
          <w:sz w:val="32"/>
          <w:szCs w:val="36"/>
        </w:rPr>
        <w:t xml:space="preserve">  </w:t>
      </w:r>
      <w:r>
        <w:rPr>
          <w:rFonts w:ascii="仿宋" w:hAnsi="仿宋" w:eastAsia="仿宋"/>
          <w:sz w:val="32"/>
          <w:szCs w:val="36"/>
        </w:rPr>
        <w:t>县（市、区）住房城乡建设主管部门负责日常信用监管，采集在本行政区域内开展质量检测活动的检测机构和人员的不良信用信息及相关证明材料，不良信用信息应由</w:t>
      </w:r>
      <w:r>
        <w:rPr>
          <w:rFonts w:hint="eastAsia" w:ascii="仿宋" w:hAnsi="仿宋" w:eastAsia="仿宋"/>
          <w:sz w:val="32"/>
          <w:szCs w:val="36"/>
        </w:rPr>
        <w:t>市住建局</w:t>
      </w:r>
      <w:r>
        <w:rPr>
          <w:rFonts w:ascii="仿宋" w:hAnsi="仿宋" w:eastAsia="仿宋"/>
          <w:sz w:val="32"/>
          <w:szCs w:val="36"/>
        </w:rPr>
        <w:t>审核无误后，报省住房城乡建设主管部门。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第十三条</w:t>
      </w:r>
      <w:r>
        <w:rPr>
          <w:rFonts w:ascii="黑体" w:hAnsi="黑体" w:eastAsia="黑体"/>
          <w:sz w:val="32"/>
          <w:szCs w:val="36"/>
        </w:rPr>
        <w:t xml:space="preserve">  </w:t>
      </w:r>
      <w:r>
        <w:rPr>
          <w:rFonts w:ascii="仿宋" w:hAnsi="仿宋" w:eastAsia="仿宋"/>
          <w:sz w:val="32"/>
          <w:szCs w:val="36"/>
        </w:rPr>
        <w:t>检测机构和人员在异地开展质量检测工作的，其日常信用监管工作由工程所在地住房城乡建设主管部门负责，发现不良信用信息应即时上报</w:t>
      </w:r>
      <w:r>
        <w:rPr>
          <w:rFonts w:hint="eastAsia" w:ascii="仿宋" w:hAnsi="仿宋" w:eastAsia="仿宋"/>
          <w:sz w:val="32"/>
          <w:szCs w:val="36"/>
        </w:rPr>
        <w:t>市住建局</w:t>
      </w:r>
      <w:r>
        <w:rPr>
          <w:rFonts w:ascii="仿宋" w:hAnsi="仿宋" w:eastAsia="仿宋"/>
          <w:sz w:val="32"/>
          <w:szCs w:val="36"/>
        </w:rPr>
        <w:t>，经</w:t>
      </w:r>
      <w:r>
        <w:rPr>
          <w:rFonts w:hint="eastAsia" w:ascii="仿宋" w:hAnsi="仿宋" w:eastAsia="仿宋"/>
          <w:sz w:val="32"/>
          <w:szCs w:val="36"/>
        </w:rPr>
        <w:t>市住建局审核无误后报</w:t>
      </w:r>
      <w:r>
        <w:rPr>
          <w:rFonts w:ascii="仿宋" w:hAnsi="仿宋" w:eastAsia="仿宋"/>
          <w:sz w:val="32"/>
          <w:szCs w:val="36"/>
        </w:rPr>
        <w:t>省住房城乡建设主管部门。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第十四条</w:t>
      </w:r>
      <w:r>
        <w:rPr>
          <w:rFonts w:ascii="黑体" w:hAnsi="黑体" w:eastAsia="黑体"/>
          <w:sz w:val="32"/>
          <w:szCs w:val="36"/>
        </w:rPr>
        <w:t xml:space="preserve">  </w:t>
      </w:r>
      <w:r>
        <w:rPr>
          <w:rFonts w:ascii="仿宋" w:hAnsi="仿宋" w:eastAsia="仿宋"/>
          <w:sz w:val="32"/>
          <w:szCs w:val="36"/>
        </w:rPr>
        <w:t>信用信息的公开期限为：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（一）检测机构基本信息长期公开；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（二）优良信用信息公开、使用期限一般为</w:t>
      </w:r>
      <w:r>
        <w:rPr>
          <w:rFonts w:ascii="仿宋" w:hAnsi="仿宋" w:eastAsia="仿宋"/>
          <w:sz w:val="32"/>
          <w:szCs w:val="36"/>
        </w:rPr>
        <w:t>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（三）不良信用信息公开、使用期限为</w:t>
      </w:r>
      <w:r>
        <w:rPr>
          <w:rFonts w:ascii="仿宋" w:hAnsi="仿宋" w:eastAsia="仿宋"/>
          <w:sz w:val="32"/>
          <w:szCs w:val="36"/>
        </w:rPr>
        <w:t>1年，并不得低于相关行政处罚期限。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公开、使用期限届满后，信用信息转入检测机构信用档案长期保存。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信用信息的公开实施动态管理。</w:t>
      </w:r>
    </w:p>
    <w:p>
      <w:pPr>
        <w:keepNext w:val="0"/>
        <w:keepLines w:val="0"/>
        <w:pageBreakBefore w:val="0"/>
        <w:widowControl w:val="0"/>
        <w:kinsoku/>
        <w:wordWrap/>
        <w:overflowPunct/>
        <w:topLinePunct w:val="0"/>
        <w:autoSpaceDE/>
        <w:autoSpaceDN/>
        <w:bidi w:val="0"/>
        <w:adjustRightInd/>
        <w:snapToGrid/>
        <w:spacing w:before="289" w:beforeLines="50" w:after="289" w:afterLines="50" w:line="600" w:lineRule="exact"/>
        <w:jc w:val="center"/>
        <w:textAlignment w:val="auto"/>
        <w:rPr>
          <w:rFonts w:ascii="黑体" w:hAnsi="黑体" w:eastAsia="黑体"/>
          <w:sz w:val="32"/>
          <w:szCs w:val="36"/>
        </w:rPr>
      </w:pPr>
      <w:r>
        <w:rPr>
          <w:rFonts w:hint="eastAsia" w:ascii="黑体" w:hAnsi="黑体" w:eastAsia="黑体"/>
          <w:sz w:val="32"/>
          <w:szCs w:val="36"/>
        </w:rPr>
        <w:t>第四章</w:t>
      </w:r>
      <w:r>
        <w:rPr>
          <w:rFonts w:ascii="黑体" w:hAnsi="黑体" w:eastAsia="黑体"/>
          <w:sz w:val="32"/>
          <w:szCs w:val="36"/>
        </w:rPr>
        <w:t xml:space="preserve"> 信用等级标准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黑体" w:hAnsi="黑体" w:eastAsia="黑体"/>
          <w:sz w:val="32"/>
          <w:szCs w:val="36"/>
        </w:rPr>
        <w:t xml:space="preserve">第十五条  </w:t>
      </w:r>
      <w:r>
        <w:rPr>
          <w:rFonts w:ascii="仿宋" w:hAnsi="仿宋" w:eastAsia="仿宋"/>
          <w:sz w:val="32"/>
          <w:szCs w:val="36"/>
        </w:rPr>
        <w:t>工程质量检测机构信用等级分为AAA、AA、A、B、C、D六个等级。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AAA级：信用优。检测机构诚信度高，各项指标优秀，企业素质高、诚信意识强、经营状况好、履约能力强、社会信誉好。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AA级：信用良好。检测机构诚信度良好，各项指标良好，企业素质良好、诚信意识良好、经营状况良好、履约能力良好、社会信誉良好。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A级：信用较好。表示检测机构诚信度较好，各项指标较好，企业素质较好、诚信意识较好、经营状况较好、履约能力较好、社会信誉较好。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B级：信用一般。表示检测机构诚信度一般，各项指标一般，企业素质一般、诚信意识一般、经营状况一般、履约能力一般、社会信誉一般。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C级：信用差。表示检测机构诚信度差，各项指标落后，企业素质低、诚信意识淡薄、经营状况不良、履约能力弱、社会信誉差。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D级：“黑名单”。表示检测机构诚信度极差，存在弄虚作假等严重失信行为。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第十六条</w:t>
      </w:r>
      <w:r>
        <w:rPr>
          <w:rFonts w:ascii="黑体" w:hAnsi="黑体" w:eastAsia="黑体"/>
          <w:sz w:val="32"/>
          <w:szCs w:val="36"/>
        </w:rPr>
        <w:t xml:space="preserve">  </w:t>
      </w:r>
      <w:r>
        <w:rPr>
          <w:rFonts w:ascii="仿宋" w:hAnsi="仿宋" w:eastAsia="仿宋"/>
          <w:sz w:val="32"/>
          <w:szCs w:val="36"/>
        </w:rPr>
        <w:t>检测机构信用等级分类划分标准为：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AAA级：检测机构综合得分在90分（含）以上；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AA级：检测机构综合得分在80（含）—90分；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A级：检测机构综合得分在70（含）—80分；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B级：检测机构综合得分在60（含）—70分；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C级：检测机构综合得分在60分以下；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ascii="仿宋" w:hAnsi="仿宋" w:eastAsia="仿宋"/>
          <w:sz w:val="32"/>
          <w:szCs w:val="36"/>
        </w:rPr>
        <w:t>D级：检测机构被列入“黑名单”的。</w:t>
      </w:r>
    </w:p>
    <w:p>
      <w:pPr>
        <w:keepNext w:val="0"/>
        <w:keepLines w:val="0"/>
        <w:pageBreakBefore w:val="0"/>
        <w:widowControl w:val="0"/>
        <w:kinsoku/>
        <w:wordWrap/>
        <w:overflowPunct/>
        <w:topLinePunct w:val="0"/>
        <w:autoSpaceDE/>
        <w:autoSpaceDN/>
        <w:bidi w:val="0"/>
        <w:adjustRightInd/>
        <w:snapToGrid/>
        <w:spacing w:before="289" w:beforeLines="50" w:after="289" w:afterLines="50" w:line="600" w:lineRule="exact"/>
        <w:jc w:val="center"/>
        <w:textAlignment w:val="auto"/>
        <w:rPr>
          <w:rFonts w:ascii="黑体" w:hAnsi="黑体" w:eastAsia="黑体"/>
          <w:sz w:val="32"/>
          <w:szCs w:val="36"/>
        </w:rPr>
      </w:pPr>
      <w:r>
        <w:rPr>
          <w:rFonts w:hint="eastAsia" w:ascii="黑体" w:hAnsi="黑体" w:eastAsia="黑体"/>
          <w:sz w:val="32"/>
          <w:szCs w:val="36"/>
        </w:rPr>
        <w:t>第五章</w:t>
      </w:r>
      <w:r>
        <w:rPr>
          <w:rFonts w:ascii="黑体" w:hAnsi="黑体" w:eastAsia="黑体"/>
          <w:sz w:val="32"/>
          <w:szCs w:val="36"/>
        </w:rPr>
        <w:t xml:space="preserve">  信用评价与应用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第十七条</w:t>
      </w:r>
      <w:r>
        <w:rPr>
          <w:rFonts w:ascii="黑体" w:hAnsi="黑体" w:eastAsia="黑体"/>
          <w:sz w:val="32"/>
          <w:szCs w:val="36"/>
        </w:rPr>
        <w:t xml:space="preserve">  </w:t>
      </w:r>
      <w:r>
        <w:rPr>
          <w:rFonts w:ascii="仿宋" w:hAnsi="仿宋" w:eastAsia="仿宋"/>
          <w:sz w:val="32"/>
          <w:szCs w:val="36"/>
        </w:rPr>
        <w:t>检测机构信用评价实行综合评分制，每年1月至12月为一个评价期，依托</w:t>
      </w:r>
      <w:r>
        <w:rPr>
          <w:rFonts w:hint="eastAsia" w:ascii="仿宋" w:hAnsi="仿宋" w:eastAsia="仿宋"/>
          <w:sz w:val="32"/>
          <w:szCs w:val="36"/>
        </w:rPr>
        <w:t>市一体化平台</w:t>
      </w:r>
      <w:r>
        <w:rPr>
          <w:rFonts w:ascii="仿宋" w:hAnsi="仿宋" w:eastAsia="仿宋"/>
          <w:sz w:val="32"/>
          <w:szCs w:val="36"/>
        </w:rPr>
        <w:t>，对检测机构的信用状况进行综合评价。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第十八条</w:t>
      </w:r>
      <w:r>
        <w:rPr>
          <w:rFonts w:ascii="黑体" w:hAnsi="黑体" w:eastAsia="黑体"/>
          <w:sz w:val="32"/>
          <w:szCs w:val="36"/>
        </w:rPr>
        <w:t xml:space="preserve">  </w:t>
      </w:r>
      <w:r>
        <w:rPr>
          <w:rFonts w:ascii="仿宋" w:hAnsi="仿宋" w:eastAsia="仿宋"/>
          <w:sz w:val="32"/>
          <w:szCs w:val="36"/>
        </w:rPr>
        <w:t>检测机构信用评价内容包括否决项、特殊项、基本项以及附加项，其中基本项100分，附加项10分，满分110分，具体内容见《</w:t>
      </w:r>
      <w:r>
        <w:rPr>
          <w:rFonts w:hint="eastAsia" w:ascii="仿宋" w:hAnsi="仿宋" w:eastAsia="仿宋"/>
          <w:sz w:val="32"/>
          <w:szCs w:val="36"/>
        </w:rPr>
        <w:t>济宁市</w:t>
      </w:r>
      <w:r>
        <w:rPr>
          <w:rFonts w:ascii="仿宋" w:hAnsi="仿宋" w:eastAsia="仿宋"/>
          <w:sz w:val="32"/>
          <w:szCs w:val="36"/>
        </w:rPr>
        <w:t>建设工程质量检测机构信用评价表》（附件2）。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第十九条</w:t>
      </w:r>
      <w:r>
        <w:rPr>
          <w:rFonts w:ascii="黑体" w:hAnsi="黑体" w:eastAsia="黑体"/>
          <w:sz w:val="32"/>
          <w:szCs w:val="36"/>
        </w:rPr>
        <w:t xml:space="preserve">  </w:t>
      </w:r>
      <w:r>
        <w:rPr>
          <w:rFonts w:ascii="仿宋" w:hAnsi="仿宋" w:eastAsia="仿宋"/>
          <w:sz w:val="32"/>
          <w:szCs w:val="36"/>
        </w:rPr>
        <w:t>检测机构存在否决项目中任意一项行为的列入“黑名单”，信用评价结果为D，不再进行后续评价。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检测机构存在特殊项中的任意一项行为，直接在总分值中扣</w:t>
      </w:r>
      <w:r>
        <w:rPr>
          <w:rFonts w:ascii="仿宋" w:hAnsi="仿宋" w:eastAsia="仿宋"/>
          <w:sz w:val="32"/>
          <w:szCs w:val="36"/>
        </w:rPr>
        <w:t>30分，不得定为A级及以上信用等级。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基本项、附加项的具体打分标准按照《济宁市建设工程质量检测机构信用评价表》（附件</w:t>
      </w:r>
      <w:r>
        <w:rPr>
          <w:rFonts w:ascii="仿宋" w:hAnsi="仿宋" w:eastAsia="仿宋"/>
          <w:sz w:val="32"/>
          <w:szCs w:val="36"/>
        </w:rPr>
        <w:t>2）的要求进行评价。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第二十条</w:t>
      </w:r>
      <w:r>
        <w:rPr>
          <w:rFonts w:ascii="黑体" w:hAnsi="黑体" w:eastAsia="黑体"/>
          <w:sz w:val="32"/>
          <w:szCs w:val="36"/>
        </w:rPr>
        <w:t xml:space="preserve">  </w:t>
      </w:r>
      <w:r>
        <w:rPr>
          <w:rFonts w:hint="eastAsia" w:ascii="仿宋" w:hAnsi="仿宋" w:eastAsia="仿宋"/>
          <w:sz w:val="32"/>
          <w:szCs w:val="36"/>
        </w:rPr>
        <w:t>市住建局、各县（市、区）</w:t>
      </w:r>
      <w:r>
        <w:rPr>
          <w:rFonts w:ascii="仿宋" w:hAnsi="仿宋" w:eastAsia="仿宋"/>
          <w:sz w:val="32"/>
          <w:szCs w:val="36"/>
        </w:rPr>
        <w:t>住房城乡建设管理部门以信用评价结果为依据，对检测机构实施分级分类监管。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（一）对信用评价等级为</w:t>
      </w:r>
      <w:r>
        <w:rPr>
          <w:rFonts w:ascii="仿宋" w:hAnsi="仿宋" w:eastAsia="仿宋"/>
          <w:sz w:val="32"/>
          <w:szCs w:val="36"/>
        </w:rPr>
        <w:t>AAA的检测机构，可在行政许可、资质资格管理、招标投标、日常监管等方面实行“绿色通道”、优先办理、简化程序等激励措施；可优先推荐参加各类评优评奖活动；列入政府投资工程推荐名录。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（二）对信用评价等级为</w:t>
      </w:r>
      <w:r>
        <w:rPr>
          <w:rFonts w:ascii="仿宋" w:hAnsi="仿宋" w:eastAsia="仿宋"/>
          <w:sz w:val="32"/>
          <w:szCs w:val="36"/>
        </w:rPr>
        <w:t>AA的检测机构，以扶持发展、加强服务为主，帮助其资质升级、增项，鼓励其做大做强，实施简化检查监督。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（三）对信用评价等级为</w:t>
      </w:r>
      <w:r>
        <w:rPr>
          <w:rFonts w:ascii="仿宋" w:hAnsi="仿宋" w:eastAsia="仿宋"/>
          <w:sz w:val="32"/>
          <w:szCs w:val="36"/>
        </w:rPr>
        <w:t>A的检测机构，采取正常监管措施，促进其提高自身信用体系建设，进一步提升管理水平。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（四）对信用评价等级为</w:t>
      </w:r>
      <w:r>
        <w:rPr>
          <w:rFonts w:ascii="仿宋" w:hAnsi="仿宋" w:eastAsia="仿宋"/>
          <w:sz w:val="32"/>
          <w:szCs w:val="36"/>
        </w:rPr>
        <w:t>B、C的检测机构，列为重点监管对象，加强事中事后监管，加大检查频次，执法检查的必查对象。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（五）对信用评价等级为</w:t>
      </w:r>
      <w:r>
        <w:rPr>
          <w:rFonts w:ascii="仿宋" w:hAnsi="仿宋" w:eastAsia="仿宋"/>
          <w:sz w:val="32"/>
          <w:szCs w:val="36"/>
        </w:rPr>
        <w:t>D的检测机构，列为重点监管、执法检查的必查对象，依法依规在市场准入、招标投标、资质资格等方面采取约束和惩戒措施，不得作为评优表彰、政策试点和扶持对象。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第二十一条</w:t>
      </w:r>
      <w:r>
        <w:rPr>
          <w:rFonts w:ascii="黑体" w:hAnsi="黑体" w:eastAsia="黑体"/>
          <w:sz w:val="32"/>
          <w:szCs w:val="36"/>
        </w:rPr>
        <w:t xml:space="preserve">  </w:t>
      </w:r>
      <w:r>
        <w:rPr>
          <w:rFonts w:ascii="仿宋" w:hAnsi="仿宋" w:eastAsia="仿宋"/>
          <w:sz w:val="32"/>
          <w:szCs w:val="36"/>
        </w:rPr>
        <w:t>“黑名单”信用评级管理期为1年，自列入“黑名单”之日起计算。检测机构修复失信行为并且在管理期限内未再次发生符合列入“黑名单”情形行为的，由原列入部门将其从“黑名单”移出，自移出之日起1年内不得定为A级及以上信用等级。</w:t>
      </w:r>
    </w:p>
    <w:p>
      <w:pPr>
        <w:keepNext w:val="0"/>
        <w:keepLines w:val="0"/>
        <w:pageBreakBefore w:val="0"/>
        <w:widowControl w:val="0"/>
        <w:kinsoku/>
        <w:wordWrap/>
        <w:overflowPunct/>
        <w:topLinePunct w:val="0"/>
        <w:autoSpaceDE/>
        <w:autoSpaceDN/>
        <w:bidi w:val="0"/>
        <w:adjustRightInd/>
        <w:snapToGrid/>
        <w:spacing w:before="289" w:beforeLines="50" w:after="289" w:afterLines="50" w:line="600" w:lineRule="exact"/>
        <w:jc w:val="center"/>
        <w:textAlignment w:val="auto"/>
        <w:rPr>
          <w:rFonts w:ascii="黑体" w:hAnsi="黑体" w:eastAsia="黑体"/>
          <w:sz w:val="32"/>
          <w:szCs w:val="36"/>
        </w:rPr>
      </w:pPr>
      <w:r>
        <w:rPr>
          <w:rFonts w:hint="eastAsia" w:ascii="黑体" w:hAnsi="黑体" w:eastAsia="黑体"/>
          <w:sz w:val="32"/>
          <w:szCs w:val="36"/>
        </w:rPr>
        <w:t>第六章</w:t>
      </w:r>
      <w:r>
        <w:rPr>
          <w:rFonts w:ascii="黑体" w:hAnsi="黑体" w:eastAsia="黑体"/>
          <w:sz w:val="32"/>
          <w:szCs w:val="36"/>
        </w:rPr>
        <w:t xml:space="preserve"> 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第二十二条</w:t>
      </w:r>
      <w:r>
        <w:rPr>
          <w:rFonts w:ascii="黑体" w:hAnsi="黑体" w:eastAsia="黑体"/>
          <w:sz w:val="32"/>
          <w:szCs w:val="36"/>
        </w:rPr>
        <w:t xml:space="preserve">  </w:t>
      </w:r>
      <w:r>
        <w:rPr>
          <w:rFonts w:ascii="仿宋" w:hAnsi="仿宋" w:eastAsia="仿宋"/>
          <w:sz w:val="32"/>
          <w:szCs w:val="36"/>
        </w:rPr>
        <w:t>检测机构和检测人员在信用管理中应如实提供相关信息，并对信息合法性、真实性、准确性负责。对提供虚假信息的，</w:t>
      </w:r>
      <w:r>
        <w:rPr>
          <w:rFonts w:hint="eastAsia" w:ascii="仿宋" w:hAnsi="仿宋" w:eastAsia="仿宋"/>
          <w:sz w:val="32"/>
          <w:szCs w:val="36"/>
        </w:rPr>
        <w:t>市住建局</w:t>
      </w:r>
      <w:r>
        <w:rPr>
          <w:rFonts w:ascii="仿宋" w:hAnsi="仿宋" w:eastAsia="仿宋"/>
          <w:sz w:val="32"/>
          <w:szCs w:val="36"/>
        </w:rPr>
        <w:t>将责令其整改、通报批评，并将其纳入不良信用信息。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第二十三条</w:t>
      </w:r>
      <w:r>
        <w:rPr>
          <w:rFonts w:ascii="黑体" w:hAnsi="黑体" w:eastAsia="黑体"/>
          <w:sz w:val="32"/>
          <w:szCs w:val="36"/>
        </w:rPr>
        <w:t xml:space="preserve">  </w:t>
      </w:r>
      <w:r>
        <w:rPr>
          <w:rFonts w:hint="eastAsia" w:ascii="仿宋" w:hAnsi="仿宋" w:eastAsia="仿宋"/>
          <w:sz w:val="32"/>
          <w:szCs w:val="36"/>
        </w:rPr>
        <w:t>市住建局</w:t>
      </w:r>
      <w:r>
        <w:rPr>
          <w:rFonts w:ascii="仿宋" w:hAnsi="仿宋" w:eastAsia="仿宋"/>
          <w:sz w:val="32"/>
          <w:szCs w:val="36"/>
        </w:rPr>
        <w:t>对收集报送的相关信用信息的真实性、完整性和及时性进行审核，并按照有关要求及时收集、整理、报送与信用信息相关的材料。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第二十四条</w:t>
      </w:r>
      <w:r>
        <w:rPr>
          <w:rFonts w:ascii="黑体" w:hAnsi="黑体" w:eastAsia="黑体"/>
          <w:sz w:val="32"/>
          <w:szCs w:val="36"/>
        </w:rPr>
        <w:t xml:space="preserve">  </w:t>
      </w:r>
      <w:r>
        <w:rPr>
          <w:rFonts w:ascii="仿宋" w:hAnsi="仿宋" w:eastAsia="仿宋"/>
          <w:sz w:val="32"/>
          <w:szCs w:val="36"/>
        </w:rPr>
        <w:t>各级住房城乡建设主管部门工作人员，在信用管理工作中，有下列情形之一的，视情节给予通报批评、行政处分；构成犯罪的，移交司法机关处理。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（一）玩忽职守、滥用职权、徇私舞弊的；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（二）擅自修改、增删信用信息的；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（三）利用信用信息进行商业活动的；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（四）法律法规禁止的其他行为。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第二十五条</w:t>
      </w:r>
      <w:r>
        <w:rPr>
          <w:rFonts w:ascii="黑体" w:hAnsi="黑体" w:eastAsia="黑体"/>
          <w:sz w:val="32"/>
          <w:szCs w:val="36"/>
        </w:rPr>
        <w:t xml:space="preserve">  </w:t>
      </w:r>
      <w:r>
        <w:rPr>
          <w:rFonts w:ascii="仿宋" w:hAnsi="仿宋" w:eastAsia="仿宋"/>
          <w:sz w:val="32"/>
          <w:szCs w:val="36"/>
        </w:rPr>
        <w:t>检测机构和人员信用管理工作主动接受社会监督，任何单位和个人均可以对信用管理工作中违反法律、法规、规章及本办法的行为，向住房城乡建设主管部门举报或投诉。</w:t>
      </w:r>
    </w:p>
    <w:p>
      <w:pPr>
        <w:keepNext w:val="0"/>
        <w:keepLines w:val="0"/>
        <w:pageBreakBefore w:val="0"/>
        <w:widowControl w:val="0"/>
        <w:kinsoku/>
        <w:wordWrap/>
        <w:overflowPunct/>
        <w:topLinePunct w:val="0"/>
        <w:autoSpaceDE/>
        <w:autoSpaceDN/>
        <w:bidi w:val="0"/>
        <w:adjustRightInd/>
        <w:snapToGrid/>
        <w:spacing w:before="289" w:beforeLines="50" w:after="289" w:afterLines="50" w:line="600" w:lineRule="exact"/>
        <w:jc w:val="center"/>
        <w:textAlignment w:val="auto"/>
        <w:rPr>
          <w:rFonts w:ascii="黑体" w:hAnsi="黑体" w:eastAsia="黑体"/>
          <w:sz w:val="32"/>
          <w:szCs w:val="36"/>
        </w:rPr>
      </w:pPr>
      <w:r>
        <w:rPr>
          <w:rFonts w:hint="eastAsia" w:ascii="黑体" w:hAnsi="黑体" w:eastAsia="黑体"/>
          <w:sz w:val="32"/>
          <w:szCs w:val="36"/>
        </w:rPr>
        <w:t>第七章</w:t>
      </w:r>
      <w:r>
        <w:rPr>
          <w:rFonts w:ascii="黑体" w:hAnsi="黑体" w:eastAsia="黑体"/>
          <w:sz w:val="32"/>
          <w:szCs w:val="36"/>
        </w:rPr>
        <w:t xml:space="preserve">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黑体" w:hAnsi="黑体" w:eastAsia="黑体"/>
          <w:sz w:val="32"/>
          <w:szCs w:val="36"/>
        </w:rPr>
        <w:t>第二十六条</w:t>
      </w:r>
      <w:r>
        <w:rPr>
          <w:rFonts w:ascii="黑体" w:hAnsi="黑体" w:eastAsia="黑体"/>
          <w:sz w:val="32"/>
          <w:szCs w:val="36"/>
        </w:rPr>
        <w:t xml:space="preserve">  </w:t>
      </w:r>
      <w:r>
        <w:rPr>
          <w:rFonts w:ascii="仿宋" w:hAnsi="仿宋" w:eastAsia="仿宋"/>
          <w:sz w:val="32"/>
          <w:szCs w:val="36"/>
        </w:rPr>
        <w:t>本办法自202</w:t>
      </w:r>
      <w:r>
        <w:rPr>
          <w:rFonts w:hint="eastAsia" w:ascii="仿宋" w:hAnsi="仿宋" w:eastAsia="仿宋"/>
          <w:sz w:val="32"/>
          <w:szCs w:val="36"/>
          <w:lang w:val="en-US" w:eastAsia="zh-CN"/>
        </w:rPr>
        <w:t>2</w:t>
      </w:r>
      <w:r>
        <w:rPr>
          <w:rFonts w:ascii="仿宋" w:hAnsi="仿宋" w:eastAsia="仿宋"/>
          <w:sz w:val="32"/>
          <w:szCs w:val="36"/>
        </w:rPr>
        <w:t>年</w:t>
      </w:r>
      <w:r>
        <w:rPr>
          <w:rFonts w:hint="eastAsia" w:ascii="仿宋" w:hAnsi="仿宋" w:eastAsia="仿宋"/>
          <w:sz w:val="32"/>
          <w:szCs w:val="36"/>
          <w:lang w:val="en-US" w:eastAsia="zh-CN"/>
        </w:rPr>
        <w:t>3</w:t>
      </w:r>
      <w:r>
        <w:rPr>
          <w:rFonts w:ascii="仿宋" w:hAnsi="仿宋" w:eastAsia="仿宋"/>
          <w:sz w:val="32"/>
          <w:szCs w:val="36"/>
        </w:rPr>
        <w:t>月</w:t>
      </w:r>
      <w:r>
        <w:rPr>
          <w:rFonts w:hint="eastAsia" w:ascii="仿宋" w:hAnsi="仿宋" w:eastAsia="仿宋"/>
          <w:sz w:val="32"/>
          <w:szCs w:val="36"/>
          <w:lang w:val="en-US" w:eastAsia="zh-CN"/>
        </w:rPr>
        <w:t>1</w:t>
      </w:r>
      <w:r>
        <w:rPr>
          <w:rFonts w:ascii="仿宋" w:hAnsi="仿宋" w:eastAsia="仿宋"/>
          <w:sz w:val="32"/>
          <w:szCs w:val="36"/>
        </w:rPr>
        <w:t xml:space="preserve">日起施行，有效期至  </w:t>
      </w:r>
      <w:r>
        <w:rPr>
          <w:rFonts w:hint="eastAsia" w:ascii="仿宋" w:hAnsi="仿宋" w:eastAsia="仿宋"/>
          <w:sz w:val="32"/>
          <w:szCs w:val="36"/>
          <w:lang w:val="en-US" w:eastAsia="zh-CN"/>
        </w:rPr>
        <w:t>2024</w:t>
      </w:r>
      <w:r>
        <w:rPr>
          <w:rFonts w:ascii="仿宋" w:hAnsi="仿宋" w:eastAsia="仿宋"/>
          <w:sz w:val="32"/>
          <w:szCs w:val="36"/>
        </w:rPr>
        <w:t>年</w:t>
      </w:r>
      <w:r>
        <w:rPr>
          <w:rFonts w:hint="eastAsia" w:ascii="仿宋" w:hAnsi="仿宋" w:eastAsia="仿宋"/>
          <w:sz w:val="32"/>
          <w:szCs w:val="36"/>
          <w:lang w:val="en-US" w:eastAsia="zh-CN"/>
        </w:rPr>
        <w:t>3</w:t>
      </w:r>
      <w:r>
        <w:rPr>
          <w:rFonts w:ascii="仿宋" w:hAnsi="仿宋" w:eastAsia="仿宋"/>
          <w:sz w:val="32"/>
          <w:szCs w:val="36"/>
        </w:rPr>
        <w:t>月</w:t>
      </w:r>
      <w:r>
        <w:rPr>
          <w:rFonts w:hint="eastAsia" w:ascii="仿宋" w:hAnsi="仿宋" w:eastAsia="仿宋"/>
          <w:sz w:val="32"/>
          <w:szCs w:val="36"/>
          <w:lang w:val="en-US" w:eastAsia="zh-CN"/>
        </w:rPr>
        <w:t>1</w:t>
      </w:r>
      <w:r>
        <w:rPr>
          <w:rFonts w:ascii="仿宋" w:hAnsi="仿宋" w:eastAsia="仿宋"/>
          <w:sz w:val="32"/>
          <w:szCs w:val="36"/>
        </w:rPr>
        <w:t>日。</w:t>
      </w:r>
      <w:r>
        <w:rPr>
          <w:rFonts w:hint="eastAsia" w:ascii="仿宋" w:hAnsi="仿宋" w:eastAsia="仿宋"/>
          <w:sz w:val="32"/>
          <w:szCs w:val="36"/>
        </w:rPr>
        <w:t>原《济宁市房屋建筑和市政工程质量检测机构信用评价管理办法》（济建行发字〔</w:t>
      </w:r>
      <w:r>
        <w:rPr>
          <w:rFonts w:ascii="仿宋" w:hAnsi="仿宋" w:eastAsia="仿宋"/>
          <w:sz w:val="32"/>
          <w:szCs w:val="36"/>
        </w:rPr>
        <w:t>2019〕6号</w:t>
      </w:r>
      <w:r>
        <w:rPr>
          <w:rFonts w:hint="eastAsia" w:ascii="仿宋" w:hAnsi="仿宋" w:eastAsia="仿宋"/>
          <w:sz w:val="32"/>
          <w:szCs w:val="36"/>
        </w:rPr>
        <w:t>）同时废止。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p>
    <w:p>
      <w:pPr>
        <w:pStyle w:val="2"/>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6"/>
        </w:rPr>
      </w:pPr>
      <w:r>
        <w:rPr>
          <w:rFonts w:hint="eastAsia" w:ascii="仿宋" w:hAnsi="仿宋" w:eastAsia="仿宋"/>
          <w:sz w:val="32"/>
          <w:szCs w:val="36"/>
        </w:rPr>
        <w:t>附件：</w:t>
      </w:r>
      <w:r>
        <w:rPr>
          <w:rFonts w:ascii="仿宋" w:hAnsi="仿宋" w:eastAsia="仿宋"/>
          <w:sz w:val="32"/>
          <w:szCs w:val="36"/>
        </w:rPr>
        <w:t>1.</w:t>
      </w:r>
      <w:r>
        <w:rPr>
          <w:rFonts w:hint="eastAsia" w:ascii="仿宋" w:hAnsi="仿宋" w:eastAsia="仿宋"/>
          <w:sz w:val="32"/>
          <w:szCs w:val="36"/>
        </w:rPr>
        <w:t>济宁市</w:t>
      </w:r>
      <w:r>
        <w:rPr>
          <w:rFonts w:ascii="仿宋" w:hAnsi="仿宋" w:eastAsia="仿宋"/>
          <w:sz w:val="32"/>
          <w:szCs w:val="36"/>
        </w:rPr>
        <w:t>建设工程质量检测机构信用评价申请表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ascii="仿宋" w:hAnsi="仿宋" w:eastAsia="仿宋"/>
          <w:sz w:val="32"/>
          <w:szCs w:val="36"/>
        </w:rPr>
      </w:pPr>
      <w:r>
        <w:rPr>
          <w:rFonts w:ascii="仿宋" w:hAnsi="仿宋" w:eastAsia="仿宋"/>
          <w:sz w:val="32"/>
          <w:szCs w:val="36"/>
        </w:rPr>
        <w:t>2.</w:t>
      </w:r>
      <w:r>
        <w:rPr>
          <w:rFonts w:hint="eastAsia" w:ascii="仿宋" w:hAnsi="仿宋" w:eastAsia="仿宋"/>
          <w:sz w:val="32"/>
          <w:szCs w:val="36"/>
        </w:rPr>
        <w:t>济宁市</w:t>
      </w:r>
      <w:r>
        <w:rPr>
          <w:rFonts w:ascii="仿宋" w:hAnsi="仿宋" w:eastAsia="仿宋"/>
          <w:sz w:val="32"/>
          <w:szCs w:val="36"/>
        </w:rPr>
        <w:t>建设工程质量检测机构信用评价表</w:t>
      </w:r>
    </w:p>
    <w:p>
      <w:pPr>
        <w:widowControl/>
        <w:jc w:val="left"/>
        <w:rPr>
          <w:rFonts w:ascii="仿宋" w:hAnsi="仿宋" w:eastAsia="仿宋"/>
          <w:sz w:val="32"/>
          <w:szCs w:val="36"/>
        </w:rPr>
      </w:pPr>
      <w:r>
        <w:rPr>
          <w:rFonts w:ascii="仿宋" w:hAnsi="仿宋" w:eastAsia="仿宋"/>
          <w:sz w:val="32"/>
          <w:szCs w:val="36"/>
        </w:rPr>
        <w:br w:type="page"/>
      </w:r>
    </w:p>
    <w:p>
      <w:pPr>
        <w:topLinePunct/>
        <w:spacing w:line="560" w:lineRule="exact"/>
        <w:rPr>
          <w:rFonts w:ascii="黑体" w:hAnsi="黑体" w:eastAsia="黑体" w:cs="宋体"/>
          <w:sz w:val="32"/>
          <w:szCs w:val="32"/>
        </w:rPr>
      </w:pPr>
      <w:r>
        <w:rPr>
          <w:rFonts w:hint="eastAsia" w:ascii="黑体" w:hAnsi="黑体" w:eastAsia="黑体" w:cs="Times New Roman"/>
          <w:sz w:val="32"/>
          <w:szCs w:val="32"/>
        </w:rPr>
        <w:t>附件1</w:t>
      </w:r>
    </w:p>
    <w:p>
      <w:pPr>
        <w:topLinePunct/>
        <w:spacing w:line="560" w:lineRule="exact"/>
        <w:rPr>
          <w:rFonts w:ascii="黑体" w:hAnsi="黑体" w:eastAsia="黑体" w:cs="Times New Roman"/>
          <w:sz w:val="32"/>
          <w:szCs w:val="32"/>
        </w:rPr>
      </w:pPr>
    </w:p>
    <w:p>
      <w:pPr>
        <w:topLinePunct/>
        <w:spacing w:line="560" w:lineRule="exact"/>
        <w:rPr>
          <w:rFonts w:ascii="黑体" w:hAnsi="黑体" w:eastAsia="黑体" w:cs="Times New Roman"/>
          <w:sz w:val="32"/>
          <w:szCs w:val="32"/>
        </w:rPr>
      </w:pPr>
    </w:p>
    <w:p>
      <w:pPr>
        <w:topLinePunct/>
        <w:spacing w:line="560" w:lineRule="exact"/>
        <w:rPr>
          <w:rFonts w:ascii="黑体" w:hAnsi="黑体" w:eastAsia="黑体" w:cs="Times New Roman"/>
          <w:sz w:val="32"/>
          <w:szCs w:val="32"/>
        </w:rPr>
      </w:pPr>
    </w:p>
    <w:p>
      <w:pPr>
        <w:topLinePunct/>
        <w:spacing w:line="560" w:lineRule="exact"/>
        <w:rPr>
          <w:rFonts w:ascii="黑体" w:hAnsi="黑体" w:eastAsia="黑体" w:cs="Times New Roman"/>
          <w:sz w:val="32"/>
          <w:szCs w:val="32"/>
        </w:rPr>
      </w:pPr>
    </w:p>
    <w:p>
      <w:pPr>
        <w:topLinePunct/>
        <w:spacing w:line="700" w:lineRule="exact"/>
        <w:jc w:val="center"/>
        <w:rPr>
          <w:rFonts w:ascii="方正小标宋简体" w:hAnsi="方正小标宋简体" w:eastAsia="方正小标宋简体" w:cs="Times New Roman"/>
          <w:spacing w:val="40"/>
          <w:sz w:val="48"/>
          <w:szCs w:val="48"/>
        </w:rPr>
      </w:pPr>
      <w:r>
        <w:rPr>
          <w:rFonts w:hint="eastAsia" w:ascii="方正小标宋简体" w:hAnsi="方正小标宋简体" w:eastAsia="方正小标宋简体" w:cs="Times New Roman"/>
          <w:spacing w:val="40"/>
          <w:sz w:val="48"/>
          <w:szCs w:val="48"/>
        </w:rPr>
        <w:t>济宁市</w:t>
      </w:r>
      <w:r>
        <w:rPr>
          <w:rFonts w:ascii="方正小标宋简体" w:hAnsi="方正小标宋简体" w:eastAsia="方正小标宋简体" w:cs="Times New Roman"/>
          <w:spacing w:val="40"/>
          <w:sz w:val="48"/>
          <w:szCs w:val="48"/>
        </w:rPr>
        <w:t>建设工程质量检测机构</w:t>
      </w:r>
    </w:p>
    <w:p>
      <w:pPr>
        <w:topLinePunct/>
        <w:spacing w:line="700" w:lineRule="exact"/>
        <w:jc w:val="center"/>
        <w:rPr>
          <w:rFonts w:ascii="方正小标宋简体" w:hAnsi="方正小标宋简体" w:eastAsia="方正小标宋简体" w:cs="Times New Roman"/>
          <w:spacing w:val="40"/>
          <w:sz w:val="48"/>
          <w:szCs w:val="48"/>
        </w:rPr>
      </w:pPr>
      <w:r>
        <w:rPr>
          <w:rFonts w:ascii="方正小标宋简体" w:hAnsi="方正小标宋简体" w:eastAsia="方正小标宋简体" w:cs="Times New Roman"/>
          <w:spacing w:val="60"/>
          <w:sz w:val="48"/>
          <w:szCs w:val="48"/>
        </w:rPr>
        <w:t>信用评价申请表</w:t>
      </w:r>
    </w:p>
    <w:p>
      <w:pPr>
        <w:topLinePunct/>
        <w:spacing w:line="700" w:lineRule="exact"/>
        <w:rPr>
          <w:rFonts w:ascii="Times New Roman" w:hAnsi="Times New Roman" w:eastAsia="华文中宋" w:cs="Times New Roman"/>
          <w:sz w:val="32"/>
          <w:szCs w:val="32"/>
        </w:rPr>
      </w:pPr>
    </w:p>
    <w:p>
      <w:pPr>
        <w:topLinePunct/>
        <w:spacing w:line="560" w:lineRule="exact"/>
        <w:jc w:val="center"/>
        <w:rPr>
          <w:rFonts w:ascii="Times New Roman" w:hAnsi="Times New Roman" w:eastAsia="华文中宋" w:cs="Times New Roman"/>
          <w:sz w:val="32"/>
          <w:szCs w:val="32"/>
        </w:rPr>
      </w:pPr>
    </w:p>
    <w:p>
      <w:pPr>
        <w:topLinePunct/>
        <w:spacing w:line="560" w:lineRule="exact"/>
        <w:rPr>
          <w:rFonts w:ascii="Times New Roman" w:hAnsi="Times New Roman" w:eastAsia="华文中宋" w:cs="Times New Roman"/>
          <w:sz w:val="32"/>
          <w:szCs w:val="32"/>
        </w:rPr>
      </w:pPr>
    </w:p>
    <w:p>
      <w:pPr>
        <w:topLinePunct/>
        <w:spacing w:line="560" w:lineRule="exact"/>
        <w:rPr>
          <w:rFonts w:ascii="Times New Roman" w:hAnsi="Times New Roman" w:eastAsia="华文中宋" w:cs="Times New Roman"/>
          <w:sz w:val="32"/>
          <w:szCs w:val="32"/>
        </w:rPr>
      </w:pPr>
    </w:p>
    <w:p>
      <w:pPr>
        <w:topLinePunct/>
        <w:spacing w:line="560" w:lineRule="exact"/>
        <w:rPr>
          <w:rFonts w:ascii="Times New Roman" w:hAnsi="Times New Roman" w:eastAsia="华文中宋" w:cs="Times New Roman"/>
          <w:sz w:val="32"/>
          <w:szCs w:val="32"/>
        </w:rPr>
      </w:pPr>
    </w:p>
    <w:p>
      <w:pPr>
        <w:topLinePunct/>
        <w:spacing w:line="560" w:lineRule="exact"/>
        <w:ind w:firstLine="1920" w:firstLineChars="600"/>
        <w:rPr>
          <w:rFonts w:ascii="仿宋" w:hAnsi="仿宋" w:eastAsia="仿宋" w:cs="Times New Roman"/>
          <w:sz w:val="32"/>
          <w:szCs w:val="32"/>
          <w:u w:val="single"/>
        </w:rPr>
      </w:pPr>
      <w:r>
        <w:rPr>
          <w:rFonts w:hint="eastAsia" w:ascii="仿宋" w:hAnsi="仿宋" w:eastAsia="仿宋" w:cs="Times New Roman"/>
          <w:sz w:val="32"/>
          <w:szCs w:val="32"/>
        </w:rPr>
        <w:t>机构名称：</w:t>
      </w:r>
      <w:r>
        <w:rPr>
          <w:rFonts w:hint="eastAsia" w:ascii="仿宋" w:hAnsi="仿宋" w:eastAsia="仿宋" w:cs="Times New Roman"/>
          <w:sz w:val="32"/>
          <w:szCs w:val="32"/>
          <w:u w:val="single"/>
        </w:rPr>
        <w:t xml:space="preserve">                （公章）</w:t>
      </w:r>
    </w:p>
    <w:p>
      <w:pPr>
        <w:topLinePunct/>
        <w:spacing w:line="560" w:lineRule="exact"/>
        <w:ind w:firstLine="1920" w:firstLineChars="600"/>
        <w:jc w:val="center"/>
        <w:rPr>
          <w:rFonts w:ascii="仿宋" w:hAnsi="仿宋" w:eastAsia="仿宋" w:cs="Times New Roman"/>
          <w:sz w:val="32"/>
          <w:szCs w:val="32"/>
        </w:rPr>
      </w:pPr>
    </w:p>
    <w:p>
      <w:pPr>
        <w:topLinePunct/>
        <w:spacing w:line="560" w:lineRule="exact"/>
        <w:ind w:firstLine="1920" w:firstLineChars="600"/>
        <w:rPr>
          <w:rFonts w:ascii="仿宋" w:hAnsi="仿宋" w:eastAsia="仿宋" w:cs="Times New Roman"/>
          <w:sz w:val="32"/>
          <w:szCs w:val="32"/>
          <w:u w:val="single"/>
        </w:rPr>
      </w:pPr>
      <w:r>
        <w:rPr>
          <w:rFonts w:hint="eastAsia" w:ascii="仿宋" w:hAnsi="仿宋" w:eastAsia="仿宋" w:cs="Times New Roman"/>
          <w:sz w:val="32"/>
          <w:szCs w:val="32"/>
        </w:rPr>
        <w:t>申报日期：</w:t>
      </w:r>
      <w:r>
        <w:rPr>
          <w:rFonts w:hint="eastAsia" w:ascii="仿宋" w:hAnsi="仿宋" w:eastAsia="仿宋" w:cs="Times New Roman"/>
          <w:sz w:val="32"/>
          <w:szCs w:val="32"/>
          <w:u w:val="single"/>
        </w:rPr>
        <w:t>________________________</w:t>
      </w:r>
      <w:r>
        <w:rPr>
          <w:rFonts w:hint="eastAsia" w:ascii="仿宋" w:hAnsi="仿宋" w:eastAsia="仿宋" w:cs="Times New Roman"/>
          <w:color w:val="FFFFFF"/>
          <w:sz w:val="32"/>
          <w:szCs w:val="32"/>
          <w:u w:val="single"/>
        </w:rPr>
        <w:t>）</w:t>
      </w:r>
    </w:p>
    <w:p>
      <w:pPr>
        <w:widowControl/>
        <w:jc w:val="left"/>
        <w:rPr>
          <w:rFonts w:ascii="仿宋" w:hAnsi="仿宋" w:eastAsia="仿宋" w:cs="Times New Roman"/>
          <w:sz w:val="40"/>
          <w:szCs w:val="40"/>
        </w:rPr>
      </w:pPr>
      <w:r>
        <w:rPr>
          <w:rFonts w:ascii="仿宋" w:hAnsi="仿宋" w:eastAsia="仿宋" w:cs="Times New Roman"/>
          <w:sz w:val="40"/>
          <w:szCs w:val="40"/>
        </w:rPr>
        <w:br w:type="page"/>
      </w:r>
    </w:p>
    <w:p>
      <w:pPr>
        <w:topLinePunct/>
        <w:spacing w:after="289" w:afterLines="50" w:line="560" w:lineRule="exact"/>
        <w:jc w:val="center"/>
        <w:rPr>
          <w:rFonts w:ascii="方正小标宋简体" w:hAnsi="方正小标宋简体" w:eastAsia="方正小标宋简体" w:cs="Times New Roman"/>
          <w:sz w:val="40"/>
          <w:szCs w:val="40"/>
        </w:rPr>
      </w:pPr>
      <w:r>
        <w:rPr>
          <w:rFonts w:hint="eastAsia" w:ascii="方正小标宋简体" w:hAnsi="方正小标宋简体" w:eastAsia="方正小标宋简体" w:cs="Times New Roman"/>
          <w:sz w:val="40"/>
          <w:szCs w:val="40"/>
        </w:rPr>
        <w:t>济宁市</w:t>
      </w:r>
      <w:r>
        <w:rPr>
          <w:rFonts w:ascii="方正小标宋简体" w:hAnsi="方正小标宋简体" w:eastAsia="方正小标宋简体" w:cs="Times New Roman"/>
          <w:sz w:val="40"/>
          <w:szCs w:val="40"/>
        </w:rPr>
        <w:t>建设工程质量检测机构基本情况表</w:t>
      </w:r>
    </w:p>
    <w:tbl>
      <w:tblPr>
        <w:tblStyle w:val="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890"/>
        <w:gridCol w:w="1171"/>
        <w:gridCol w:w="1320"/>
        <w:gridCol w:w="104"/>
        <w:gridCol w:w="1155"/>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机构名称</w:t>
            </w:r>
          </w:p>
        </w:tc>
        <w:tc>
          <w:tcPr>
            <w:tcW w:w="4485" w:type="dxa"/>
            <w:gridSpan w:val="4"/>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55"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成立时间</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机构地址</w:t>
            </w:r>
          </w:p>
        </w:tc>
        <w:tc>
          <w:tcPr>
            <w:tcW w:w="4485" w:type="dxa"/>
            <w:gridSpan w:val="4"/>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55"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注册资金</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联系电话</w:t>
            </w:r>
          </w:p>
        </w:tc>
        <w:tc>
          <w:tcPr>
            <w:tcW w:w="4485" w:type="dxa"/>
            <w:gridSpan w:val="4"/>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55"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邮政编码</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工商营业</w:t>
            </w:r>
          </w:p>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执照注册号</w:t>
            </w:r>
          </w:p>
        </w:tc>
        <w:tc>
          <w:tcPr>
            <w:tcW w:w="4485" w:type="dxa"/>
            <w:gridSpan w:val="4"/>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55"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发证机关</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资质证书编号</w:t>
            </w:r>
          </w:p>
        </w:tc>
        <w:tc>
          <w:tcPr>
            <w:tcW w:w="1890"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71"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初始取得</w:t>
            </w:r>
          </w:p>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资质时间</w:t>
            </w:r>
          </w:p>
        </w:tc>
        <w:tc>
          <w:tcPr>
            <w:tcW w:w="1424" w:type="dxa"/>
            <w:gridSpan w:val="2"/>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55"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资质</w:t>
            </w:r>
          </w:p>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有效期至</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资质认定</w:t>
            </w:r>
          </w:p>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证书号</w:t>
            </w:r>
          </w:p>
        </w:tc>
        <w:tc>
          <w:tcPr>
            <w:tcW w:w="1890"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71"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有效期至</w:t>
            </w:r>
          </w:p>
        </w:tc>
        <w:tc>
          <w:tcPr>
            <w:tcW w:w="1424" w:type="dxa"/>
            <w:gridSpan w:val="2"/>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55"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发证机关</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法定代表人</w:t>
            </w:r>
          </w:p>
        </w:tc>
        <w:tc>
          <w:tcPr>
            <w:tcW w:w="1890"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71"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职 称</w:t>
            </w:r>
          </w:p>
        </w:tc>
        <w:tc>
          <w:tcPr>
            <w:tcW w:w="1424" w:type="dxa"/>
            <w:gridSpan w:val="2"/>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55"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联系电话</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技术负责人</w:t>
            </w:r>
          </w:p>
        </w:tc>
        <w:tc>
          <w:tcPr>
            <w:tcW w:w="1890"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71"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职 称</w:t>
            </w:r>
          </w:p>
        </w:tc>
        <w:tc>
          <w:tcPr>
            <w:tcW w:w="1424" w:type="dxa"/>
            <w:gridSpan w:val="2"/>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55"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联系电话</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质量负责人</w:t>
            </w:r>
          </w:p>
        </w:tc>
        <w:tc>
          <w:tcPr>
            <w:tcW w:w="1890"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71"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职 称</w:t>
            </w:r>
          </w:p>
        </w:tc>
        <w:tc>
          <w:tcPr>
            <w:tcW w:w="1424" w:type="dxa"/>
            <w:gridSpan w:val="2"/>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55"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联系电话</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479" w:type="dxa"/>
            <w:tcBorders>
              <w:top w:val="nil"/>
              <w:left w:val="single" w:color="auto" w:sz="4" w:space="0"/>
              <w:bottom w:val="single" w:color="auto" w:sz="4" w:space="0"/>
              <w:right w:val="single" w:color="auto" w:sz="4" w:space="0"/>
            </w:tcBorders>
            <w:shd w:val="clear" w:color="auto" w:fill="auto"/>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在职人员人数</w:t>
            </w:r>
          </w:p>
        </w:tc>
        <w:tc>
          <w:tcPr>
            <w:tcW w:w="1890" w:type="dxa"/>
            <w:tcBorders>
              <w:top w:val="nil"/>
              <w:left w:val="nil"/>
              <w:bottom w:val="single" w:color="auto" w:sz="4" w:space="0"/>
              <w:right w:val="single" w:color="auto" w:sz="4" w:space="0"/>
            </w:tcBorders>
            <w:shd w:val="clear" w:color="auto" w:fill="auto"/>
            <w:vAlign w:val="center"/>
          </w:tcPr>
          <w:p>
            <w:pPr>
              <w:topLinePunct/>
              <w:spacing w:line="240" w:lineRule="exact"/>
              <w:rPr>
                <w:rFonts w:ascii="宋体" w:hAnsi="宋体" w:eastAsia="宋体" w:cs="Times New Roman"/>
                <w:szCs w:val="21"/>
              </w:rPr>
            </w:pPr>
          </w:p>
        </w:tc>
        <w:tc>
          <w:tcPr>
            <w:tcW w:w="3750" w:type="dxa"/>
            <w:gridSpan w:val="4"/>
            <w:tcBorders>
              <w:top w:val="nil"/>
              <w:left w:val="nil"/>
              <w:right w:val="single" w:color="auto" w:sz="4" w:space="0"/>
            </w:tcBorders>
            <w:shd w:val="clear" w:color="auto" w:fill="auto"/>
            <w:tcMar>
              <w:top w:w="0" w:type="dxa"/>
              <w:left w:w="0" w:type="dxa"/>
              <w:bottom w:w="0" w:type="dxa"/>
              <w:right w:w="0" w:type="dxa"/>
            </w:tcMar>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其中：检测人员人数</w:t>
            </w:r>
          </w:p>
        </w:tc>
        <w:tc>
          <w:tcPr>
            <w:tcW w:w="1821" w:type="dxa"/>
            <w:tcBorders>
              <w:top w:val="single" w:color="auto" w:sz="4" w:space="0"/>
              <w:left w:val="nil"/>
              <w:right w:val="single" w:color="auto" w:sz="4" w:space="0"/>
            </w:tcBorders>
            <w:shd w:val="clear" w:color="auto" w:fill="FFFFFF"/>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初级职称人数</w:t>
            </w:r>
          </w:p>
        </w:tc>
        <w:tc>
          <w:tcPr>
            <w:tcW w:w="1890"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171"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中级职称人数</w:t>
            </w:r>
          </w:p>
        </w:tc>
        <w:tc>
          <w:tcPr>
            <w:tcW w:w="1320"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259" w:type="dxa"/>
            <w:gridSpan w:val="2"/>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高级职称</w:t>
            </w:r>
          </w:p>
          <w:p>
            <w:pPr>
              <w:topLinePunct/>
              <w:spacing w:line="240" w:lineRule="exact"/>
              <w:jc w:val="center"/>
              <w:rPr>
                <w:rFonts w:ascii="宋体" w:hAnsi="宋体" w:eastAsia="宋体" w:cs="Times New Roman"/>
                <w:szCs w:val="21"/>
              </w:rPr>
            </w:pPr>
            <w:r>
              <w:rPr>
                <w:rFonts w:hint="eastAsia" w:ascii="宋体" w:hAnsi="宋体" w:eastAsia="宋体" w:cs="Times New Roman"/>
                <w:szCs w:val="21"/>
              </w:rPr>
              <w:t>人数</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ind w:firstLine="1260" w:firstLineChars="600"/>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注册结构</w:t>
            </w:r>
          </w:p>
          <w:p>
            <w:pPr>
              <w:topLinePunct/>
              <w:spacing w:line="240" w:lineRule="exact"/>
              <w:jc w:val="center"/>
              <w:rPr>
                <w:rFonts w:ascii="宋体" w:hAnsi="宋体" w:eastAsia="宋体" w:cs="Times New Roman"/>
                <w:szCs w:val="21"/>
              </w:rPr>
            </w:pPr>
            <w:r>
              <w:rPr>
                <w:rFonts w:hint="eastAsia" w:ascii="宋体" w:hAnsi="宋体" w:eastAsia="宋体" w:cs="Times New Roman"/>
                <w:szCs w:val="21"/>
              </w:rPr>
              <w:t>工程师姓名</w:t>
            </w:r>
          </w:p>
        </w:tc>
        <w:tc>
          <w:tcPr>
            <w:tcW w:w="1890"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p>
        </w:tc>
        <w:tc>
          <w:tcPr>
            <w:tcW w:w="1171"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证书编号</w:t>
            </w:r>
          </w:p>
        </w:tc>
        <w:tc>
          <w:tcPr>
            <w:tcW w:w="1320"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259" w:type="dxa"/>
            <w:gridSpan w:val="2"/>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注册期限</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ind w:firstLine="1260" w:firstLineChars="600"/>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注册岩土</w:t>
            </w:r>
          </w:p>
          <w:p>
            <w:pPr>
              <w:topLinePunct/>
              <w:spacing w:line="240" w:lineRule="exact"/>
              <w:jc w:val="center"/>
              <w:rPr>
                <w:rFonts w:ascii="宋体" w:hAnsi="宋体" w:eastAsia="宋体" w:cs="Times New Roman"/>
                <w:szCs w:val="21"/>
              </w:rPr>
            </w:pPr>
            <w:r>
              <w:rPr>
                <w:rFonts w:hint="eastAsia" w:ascii="宋体" w:hAnsi="宋体" w:eastAsia="宋体" w:cs="Times New Roman"/>
                <w:szCs w:val="21"/>
              </w:rPr>
              <w:t>工程师姓名</w:t>
            </w:r>
          </w:p>
        </w:tc>
        <w:tc>
          <w:tcPr>
            <w:tcW w:w="1890"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p>
        </w:tc>
        <w:tc>
          <w:tcPr>
            <w:tcW w:w="1171" w:type="dxa"/>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证书编号</w:t>
            </w:r>
          </w:p>
        </w:tc>
        <w:tc>
          <w:tcPr>
            <w:tcW w:w="1320"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1259" w:type="dxa"/>
            <w:gridSpan w:val="2"/>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注册期限</w:t>
            </w:r>
          </w:p>
        </w:tc>
        <w:tc>
          <w:tcPr>
            <w:tcW w:w="1821" w:type="dxa"/>
            <w:tcBorders>
              <w:top w:val="single" w:color="auto" w:sz="4" w:space="0"/>
              <w:left w:val="nil"/>
              <w:bottom w:val="single" w:color="auto" w:sz="4" w:space="0"/>
              <w:right w:val="single" w:color="auto" w:sz="4" w:space="0"/>
            </w:tcBorders>
            <w:vAlign w:val="center"/>
          </w:tcPr>
          <w:p>
            <w:pPr>
              <w:topLinePunct/>
              <w:spacing w:line="240" w:lineRule="exact"/>
              <w:ind w:firstLine="1260" w:firstLineChars="600"/>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仪器设备总台（套）数</w:t>
            </w:r>
          </w:p>
        </w:tc>
        <w:tc>
          <w:tcPr>
            <w:tcW w:w="1890"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2491" w:type="dxa"/>
            <w:gridSpan w:val="2"/>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仪器设备固定资产</w:t>
            </w:r>
          </w:p>
          <w:p>
            <w:pPr>
              <w:topLinePunct/>
              <w:spacing w:line="240" w:lineRule="exact"/>
              <w:jc w:val="center"/>
              <w:rPr>
                <w:rFonts w:ascii="宋体" w:hAnsi="宋体" w:eastAsia="宋体" w:cs="Times New Roman"/>
                <w:szCs w:val="21"/>
              </w:rPr>
            </w:pPr>
            <w:r>
              <w:rPr>
                <w:rFonts w:hint="eastAsia" w:ascii="宋体" w:hAnsi="宋体" w:eastAsia="宋体" w:cs="Times New Roman"/>
                <w:szCs w:val="21"/>
              </w:rPr>
              <w:t>原值（万元）</w:t>
            </w:r>
          </w:p>
        </w:tc>
        <w:tc>
          <w:tcPr>
            <w:tcW w:w="3080" w:type="dxa"/>
            <w:gridSpan w:val="3"/>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试验场地面积（m</w:t>
            </w:r>
            <w:r>
              <w:rPr>
                <w:rFonts w:hint="eastAsia" w:ascii="宋体" w:hAnsi="宋体" w:eastAsia="宋体" w:cs="Times New Roman"/>
                <w:szCs w:val="21"/>
                <w:vertAlign w:val="superscript"/>
              </w:rPr>
              <w:t>2</w:t>
            </w:r>
            <w:r>
              <w:rPr>
                <w:rFonts w:hint="eastAsia" w:ascii="宋体" w:hAnsi="宋体" w:eastAsia="宋体" w:cs="Times New Roman"/>
                <w:szCs w:val="21"/>
              </w:rPr>
              <w:t>）</w:t>
            </w:r>
          </w:p>
        </w:tc>
        <w:tc>
          <w:tcPr>
            <w:tcW w:w="1890" w:type="dxa"/>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c>
          <w:tcPr>
            <w:tcW w:w="2491" w:type="dxa"/>
            <w:gridSpan w:val="2"/>
            <w:tcBorders>
              <w:top w:val="single" w:color="auto" w:sz="4" w:space="0"/>
              <w:left w:val="nil"/>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房屋建筑面积（m</w:t>
            </w:r>
            <w:r>
              <w:rPr>
                <w:rFonts w:hint="eastAsia" w:ascii="宋体" w:hAnsi="宋体" w:eastAsia="宋体" w:cs="Times New Roman"/>
                <w:szCs w:val="21"/>
                <w:vertAlign w:val="superscript"/>
              </w:rPr>
              <w:t>2</w:t>
            </w:r>
            <w:r>
              <w:rPr>
                <w:rFonts w:hint="eastAsia" w:ascii="宋体" w:hAnsi="宋体" w:eastAsia="宋体" w:cs="Times New Roman"/>
                <w:szCs w:val="21"/>
              </w:rPr>
              <w:t>）</w:t>
            </w:r>
          </w:p>
        </w:tc>
        <w:tc>
          <w:tcPr>
            <w:tcW w:w="3080" w:type="dxa"/>
            <w:gridSpan w:val="3"/>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有关检测质量控制文件</w:t>
            </w:r>
          </w:p>
        </w:tc>
        <w:tc>
          <w:tcPr>
            <w:tcW w:w="7461" w:type="dxa"/>
            <w:gridSpan w:val="6"/>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szCs w:val="21"/>
              </w:rPr>
            </w:pPr>
            <w:r>
              <w:rPr>
                <w:rFonts w:hint="eastAsia" w:ascii="宋体" w:hAnsi="宋体" w:eastAsia="宋体" w:cs="Times New Roman"/>
                <w:szCs w:val="21"/>
              </w:rPr>
              <w:t>（可另附表）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rFonts w:ascii="宋体" w:hAnsi="宋体" w:eastAsia="宋体" w:cs="Times New Roman"/>
                <w:szCs w:val="21"/>
              </w:rPr>
            </w:pPr>
            <w:r>
              <w:rPr>
                <w:rFonts w:hint="eastAsia" w:ascii="宋体" w:hAnsi="宋体" w:eastAsia="宋体" w:cs="Times New Roman"/>
                <w:szCs w:val="21"/>
              </w:rPr>
              <w:t>备 注</w:t>
            </w:r>
          </w:p>
        </w:tc>
        <w:tc>
          <w:tcPr>
            <w:tcW w:w="7461" w:type="dxa"/>
            <w:gridSpan w:val="6"/>
            <w:tcBorders>
              <w:top w:val="single" w:color="auto" w:sz="4" w:space="0"/>
              <w:left w:val="nil"/>
              <w:bottom w:val="single" w:color="auto" w:sz="4" w:space="0"/>
              <w:right w:val="single" w:color="auto" w:sz="4" w:space="0"/>
            </w:tcBorders>
            <w:vAlign w:val="center"/>
          </w:tcPr>
          <w:p>
            <w:pPr>
              <w:topLinePunct/>
              <w:spacing w:line="240" w:lineRule="exact"/>
              <w:rPr>
                <w:rFonts w:ascii="宋体" w:hAnsi="宋体" w:eastAsia="宋体" w:cs="Times New Roman"/>
                <w:color w:val="FF0000"/>
                <w:szCs w:val="21"/>
              </w:rPr>
            </w:pPr>
          </w:p>
        </w:tc>
      </w:tr>
    </w:tbl>
    <w:p>
      <w:pPr>
        <w:widowControl/>
        <w:jc w:val="left"/>
        <w:rPr>
          <w:rFonts w:ascii="方正小标宋_GBK" w:hAnsi="方正小标宋_GBK" w:eastAsia="宋体" w:cs="宋体"/>
          <w:sz w:val="36"/>
          <w:szCs w:val="36"/>
        </w:rPr>
        <w:sectPr>
          <w:footerReference r:id="rId3" w:type="default"/>
          <w:pgSz w:w="11906" w:h="16838"/>
          <w:pgMar w:top="1440" w:right="1542" w:bottom="1440" w:left="1542" w:header="851" w:footer="1418" w:gutter="0"/>
          <w:pgNumType w:fmt="numberInDash"/>
          <w:cols w:space="720" w:num="1"/>
          <w:docGrid w:type="lines" w:linePitch="579" w:charSpace="0"/>
        </w:sectPr>
      </w:pPr>
    </w:p>
    <w:p>
      <w:pPr>
        <w:topLinePunct/>
        <w:spacing w:line="560" w:lineRule="exact"/>
        <w:jc w:val="center"/>
        <w:rPr>
          <w:rFonts w:ascii="方正小标宋简体" w:hAnsi="方正小标宋简体" w:eastAsia="方正小标宋简体" w:cs="宋体"/>
          <w:sz w:val="40"/>
          <w:szCs w:val="40"/>
        </w:rPr>
      </w:pPr>
      <w:r>
        <w:rPr>
          <w:rFonts w:ascii="方正小标宋简体" w:hAnsi="方正小标宋简体" w:eastAsia="方正小标宋简体" w:cs="Times New Roman"/>
          <w:sz w:val="40"/>
          <w:szCs w:val="40"/>
        </w:rPr>
        <w:t>检测管理与技术人员汇总表</w:t>
      </w:r>
    </w:p>
    <w:tbl>
      <w:tblPr>
        <w:tblStyle w:val="5"/>
        <w:tblpPr w:leftFromText="180" w:rightFromText="180" w:vertAnchor="text" w:horzAnchor="margin" w:tblpXSpec="center" w:tblpY="745"/>
        <w:tblW w:w="14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850"/>
        <w:gridCol w:w="2977"/>
        <w:gridCol w:w="1247"/>
        <w:gridCol w:w="1021"/>
        <w:gridCol w:w="1985"/>
        <w:gridCol w:w="1984"/>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Times New Roman"/>
                <w:b/>
                <w:bCs/>
                <w:sz w:val="24"/>
                <w:szCs w:val="24"/>
              </w:rPr>
            </w:pPr>
            <w:r>
              <w:rPr>
                <w:rFonts w:hint="eastAsia" w:ascii="宋体" w:hAnsi="宋体" w:eastAsia="宋体" w:cs="Times New Roman"/>
                <w:b/>
                <w:bCs/>
                <w:sz w:val="24"/>
                <w:szCs w:val="24"/>
              </w:rPr>
              <w:t>序号</w:t>
            </w:r>
          </w:p>
        </w:tc>
        <w:tc>
          <w:tcPr>
            <w:tcW w:w="1276" w:type="dxa"/>
            <w:tcBorders>
              <w:top w:val="single" w:color="auto" w:sz="4" w:space="0"/>
              <w:left w:val="nil"/>
              <w:bottom w:val="single" w:color="auto" w:sz="4" w:space="0"/>
              <w:right w:val="single" w:color="auto" w:sz="4" w:space="0"/>
            </w:tcBorders>
            <w:vAlign w:val="center"/>
          </w:tcPr>
          <w:p>
            <w:pPr>
              <w:topLinePunct/>
              <w:jc w:val="center"/>
              <w:rPr>
                <w:rFonts w:ascii="宋体" w:hAnsi="宋体" w:eastAsia="宋体" w:cs="Times New Roman"/>
                <w:b/>
                <w:bCs/>
                <w:sz w:val="24"/>
                <w:szCs w:val="24"/>
              </w:rPr>
            </w:pPr>
            <w:r>
              <w:rPr>
                <w:rFonts w:hint="eastAsia" w:ascii="宋体" w:hAnsi="宋体" w:eastAsia="宋体" w:cs="Times New Roman"/>
                <w:b/>
                <w:bCs/>
                <w:sz w:val="24"/>
                <w:szCs w:val="24"/>
              </w:rPr>
              <w:t>姓名</w:t>
            </w:r>
          </w:p>
        </w:tc>
        <w:tc>
          <w:tcPr>
            <w:tcW w:w="850" w:type="dxa"/>
            <w:tcBorders>
              <w:top w:val="single" w:color="auto" w:sz="4" w:space="0"/>
              <w:left w:val="nil"/>
              <w:bottom w:val="single" w:color="auto" w:sz="4" w:space="0"/>
              <w:right w:val="single" w:color="auto" w:sz="4" w:space="0"/>
            </w:tcBorders>
            <w:vAlign w:val="center"/>
          </w:tcPr>
          <w:p>
            <w:pPr>
              <w:topLinePunct/>
              <w:jc w:val="center"/>
              <w:rPr>
                <w:rFonts w:ascii="宋体" w:hAnsi="宋体" w:eastAsia="宋体" w:cs="Times New Roman"/>
                <w:b/>
                <w:bCs/>
                <w:sz w:val="24"/>
                <w:szCs w:val="24"/>
              </w:rPr>
            </w:pPr>
            <w:r>
              <w:rPr>
                <w:rFonts w:hint="eastAsia" w:ascii="宋体" w:hAnsi="宋体" w:eastAsia="宋体" w:cs="Times New Roman"/>
                <w:b/>
                <w:bCs/>
                <w:sz w:val="24"/>
                <w:szCs w:val="24"/>
              </w:rPr>
              <w:t>性别</w:t>
            </w:r>
          </w:p>
        </w:tc>
        <w:tc>
          <w:tcPr>
            <w:tcW w:w="2977" w:type="dxa"/>
            <w:tcBorders>
              <w:top w:val="single" w:color="auto" w:sz="4" w:space="0"/>
              <w:left w:val="nil"/>
              <w:bottom w:val="single" w:color="auto" w:sz="4" w:space="0"/>
              <w:right w:val="single" w:color="auto" w:sz="4" w:space="0"/>
            </w:tcBorders>
            <w:vAlign w:val="center"/>
          </w:tcPr>
          <w:p>
            <w:pPr>
              <w:topLinePunct/>
              <w:jc w:val="center"/>
              <w:rPr>
                <w:rFonts w:ascii="宋体" w:hAnsi="宋体" w:eastAsia="宋体" w:cs="Times New Roman"/>
                <w:b/>
                <w:bCs/>
                <w:sz w:val="24"/>
                <w:szCs w:val="24"/>
              </w:rPr>
            </w:pPr>
            <w:r>
              <w:rPr>
                <w:rFonts w:ascii="宋体" w:hAnsi="宋体" w:eastAsia="宋体" w:cs="Times New Roman"/>
                <w:b/>
                <w:bCs/>
                <w:sz w:val="24"/>
                <w:szCs w:val="24"/>
              </w:rPr>
              <w:t>身份证号码</w:t>
            </w:r>
          </w:p>
        </w:tc>
        <w:tc>
          <w:tcPr>
            <w:tcW w:w="1247" w:type="dxa"/>
            <w:tcBorders>
              <w:top w:val="single" w:color="auto" w:sz="4" w:space="0"/>
              <w:left w:val="nil"/>
              <w:bottom w:val="single" w:color="auto" w:sz="4" w:space="0"/>
              <w:right w:val="single" w:color="auto" w:sz="4" w:space="0"/>
            </w:tcBorders>
            <w:vAlign w:val="center"/>
          </w:tcPr>
          <w:p>
            <w:pPr>
              <w:topLinePunct/>
              <w:jc w:val="center"/>
              <w:rPr>
                <w:rFonts w:ascii="宋体" w:hAnsi="宋体" w:eastAsia="宋体" w:cs="Times New Roman"/>
                <w:b/>
                <w:bCs/>
                <w:sz w:val="24"/>
                <w:szCs w:val="24"/>
              </w:rPr>
            </w:pPr>
            <w:r>
              <w:rPr>
                <w:rFonts w:hint="eastAsia" w:ascii="宋体" w:hAnsi="宋体" w:eastAsia="宋体" w:cs="Times New Roman"/>
                <w:b/>
                <w:bCs/>
                <w:sz w:val="24"/>
                <w:szCs w:val="24"/>
              </w:rPr>
              <w:t>职务</w:t>
            </w:r>
          </w:p>
        </w:tc>
        <w:tc>
          <w:tcPr>
            <w:tcW w:w="1021" w:type="dxa"/>
            <w:tcBorders>
              <w:top w:val="single" w:color="auto" w:sz="4" w:space="0"/>
              <w:left w:val="nil"/>
              <w:bottom w:val="single" w:color="auto" w:sz="4" w:space="0"/>
              <w:right w:val="single" w:color="auto" w:sz="4" w:space="0"/>
            </w:tcBorders>
            <w:vAlign w:val="center"/>
          </w:tcPr>
          <w:p>
            <w:pPr>
              <w:topLinePunct/>
              <w:jc w:val="center"/>
              <w:rPr>
                <w:rFonts w:ascii="宋体" w:hAnsi="宋体" w:eastAsia="宋体" w:cs="Times New Roman"/>
                <w:b/>
                <w:bCs/>
                <w:sz w:val="24"/>
                <w:szCs w:val="24"/>
              </w:rPr>
            </w:pPr>
            <w:r>
              <w:rPr>
                <w:rFonts w:ascii="宋体" w:hAnsi="宋体" w:eastAsia="宋体" w:cs="Times New Roman"/>
                <w:b/>
                <w:bCs/>
                <w:sz w:val="24"/>
                <w:szCs w:val="24"/>
              </w:rPr>
              <w:t>学历</w:t>
            </w:r>
          </w:p>
        </w:tc>
        <w:tc>
          <w:tcPr>
            <w:tcW w:w="1985" w:type="dxa"/>
            <w:tcBorders>
              <w:top w:val="single" w:color="auto" w:sz="4" w:space="0"/>
              <w:left w:val="nil"/>
              <w:bottom w:val="single" w:color="auto" w:sz="4" w:space="0"/>
              <w:right w:val="single" w:color="auto" w:sz="4" w:space="0"/>
            </w:tcBorders>
            <w:vAlign w:val="center"/>
          </w:tcPr>
          <w:p>
            <w:pPr>
              <w:topLinePunct/>
              <w:jc w:val="center"/>
              <w:rPr>
                <w:rFonts w:ascii="宋体" w:hAnsi="宋体" w:eastAsia="宋体" w:cs="Times New Roman"/>
                <w:b/>
                <w:bCs/>
                <w:sz w:val="24"/>
                <w:szCs w:val="24"/>
              </w:rPr>
            </w:pPr>
            <w:r>
              <w:rPr>
                <w:rFonts w:hint="eastAsia" w:ascii="宋体" w:hAnsi="宋体" w:eastAsia="宋体" w:cs="Times New Roman"/>
                <w:b/>
                <w:bCs/>
                <w:sz w:val="24"/>
                <w:szCs w:val="24"/>
              </w:rPr>
              <w:t>职称</w:t>
            </w:r>
          </w:p>
        </w:tc>
        <w:tc>
          <w:tcPr>
            <w:tcW w:w="1984" w:type="dxa"/>
            <w:tcBorders>
              <w:top w:val="single" w:color="auto" w:sz="4" w:space="0"/>
              <w:left w:val="nil"/>
              <w:bottom w:val="single" w:color="auto" w:sz="4" w:space="0"/>
              <w:right w:val="single" w:color="auto" w:sz="4" w:space="0"/>
            </w:tcBorders>
            <w:vAlign w:val="center"/>
          </w:tcPr>
          <w:p>
            <w:pPr>
              <w:topLinePunct/>
              <w:jc w:val="center"/>
              <w:rPr>
                <w:rFonts w:ascii="宋体" w:hAnsi="宋体" w:eastAsia="宋体" w:cs="Times New Roman"/>
                <w:b/>
                <w:bCs/>
                <w:sz w:val="24"/>
                <w:szCs w:val="24"/>
              </w:rPr>
            </w:pPr>
            <w:r>
              <w:rPr>
                <w:rFonts w:hint="eastAsia" w:ascii="宋体" w:hAnsi="宋体" w:eastAsia="宋体" w:cs="Times New Roman"/>
                <w:b/>
                <w:bCs/>
                <w:sz w:val="24"/>
                <w:szCs w:val="24"/>
              </w:rPr>
              <w:t>职称证书编号</w:t>
            </w:r>
          </w:p>
        </w:tc>
        <w:tc>
          <w:tcPr>
            <w:tcW w:w="2767" w:type="dxa"/>
            <w:tcBorders>
              <w:top w:val="single" w:color="auto" w:sz="4" w:space="0"/>
              <w:left w:val="nil"/>
              <w:bottom w:val="single" w:color="auto" w:sz="4" w:space="0"/>
              <w:right w:val="single" w:color="auto" w:sz="4" w:space="0"/>
            </w:tcBorders>
            <w:vAlign w:val="center"/>
          </w:tcPr>
          <w:p>
            <w:pPr>
              <w:topLinePunct/>
              <w:jc w:val="center"/>
              <w:rPr>
                <w:rFonts w:ascii="宋体" w:hAnsi="宋体" w:eastAsia="宋体" w:cs="Times New Roman"/>
                <w:b/>
                <w:bCs/>
                <w:sz w:val="24"/>
                <w:szCs w:val="24"/>
              </w:rPr>
            </w:pPr>
            <w:r>
              <w:rPr>
                <w:rFonts w:hint="eastAsia" w:ascii="宋体" w:hAnsi="宋体" w:eastAsia="宋体" w:cs="Times New Roman"/>
                <w:b/>
                <w:bCs/>
                <w:sz w:val="24"/>
                <w:szCs w:val="24"/>
              </w:rPr>
              <w:t>现参与操作的项目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eastAsia="宋体" w:cs="Times New Roman"/>
                <w:sz w:val="24"/>
                <w:szCs w:val="24"/>
              </w:rPr>
            </w:pPr>
          </w:p>
        </w:tc>
        <w:tc>
          <w:tcPr>
            <w:tcW w:w="1276"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850"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97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24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021"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5"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4"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76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eastAsia="宋体" w:cs="Times New Roman"/>
                <w:sz w:val="24"/>
                <w:szCs w:val="24"/>
              </w:rPr>
            </w:pPr>
          </w:p>
        </w:tc>
        <w:tc>
          <w:tcPr>
            <w:tcW w:w="1276"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850"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97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24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021"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5"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4"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76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eastAsia="宋体" w:cs="Times New Roman"/>
                <w:sz w:val="24"/>
                <w:szCs w:val="24"/>
              </w:rPr>
            </w:pPr>
          </w:p>
        </w:tc>
        <w:tc>
          <w:tcPr>
            <w:tcW w:w="1276"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850"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97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24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021"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5"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4"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76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eastAsia="宋体" w:cs="Times New Roman"/>
                <w:sz w:val="24"/>
                <w:szCs w:val="24"/>
              </w:rPr>
            </w:pPr>
          </w:p>
        </w:tc>
        <w:tc>
          <w:tcPr>
            <w:tcW w:w="1276"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850"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97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24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021"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5"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4"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76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eastAsia="宋体" w:cs="Times New Roman"/>
                <w:sz w:val="24"/>
                <w:szCs w:val="24"/>
              </w:rPr>
            </w:pPr>
          </w:p>
        </w:tc>
        <w:tc>
          <w:tcPr>
            <w:tcW w:w="1276"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850"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97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24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021"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5"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4"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76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eastAsia="宋体" w:cs="Times New Roman"/>
                <w:sz w:val="24"/>
                <w:szCs w:val="24"/>
              </w:rPr>
            </w:pPr>
          </w:p>
        </w:tc>
        <w:tc>
          <w:tcPr>
            <w:tcW w:w="1276"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850"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97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24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021"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5"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4"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76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eastAsia="宋体" w:cs="Times New Roman"/>
                <w:sz w:val="24"/>
                <w:szCs w:val="24"/>
              </w:rPr>
            </w:pPr>
          </w:p>
        </w:tc>
        <w:tc>
          <w:tcPr>
            <w:tcW w:w="1276"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850"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97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24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021"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5"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1984"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c>
          <w:tcPr>
            <w:tcW w:w="2767" w:type="dxa"/>
            <w:tcBorders>
              <w:top w:val="single" w:color="auto" w:sz="4" w:space="0"/>
              <w:left w:val="nil"/>
              <w:bottom w:val="single" w:color="auto" w:sz="4" w:space="0"/>
              <w:right w:val="single" w:color="auto" w:sz="4" w:space="0"/>
            </w:tcBorders>
            <w:vAlign w:val="center"/>
          </w:tcPr>
          <w:p>
            <w:pPr>
              <w:topLinePunct/>
              <w:rPr>
                <w:rFonts w:ascii="宋体" w:hAnsi="宋体" w:eastAsia="宋体" w:cs="Times New Roman"/>
                <w:sz w:val="24"/>
                <w:szCs w:val="24"/>
              </w:rPr>
            </w:pPr>
          </w:p>
        </w:tc>
      </w:tr>
    </w:tbl>
    <w:p>
      <w:pPr>
        <w:topLinePunct/>
        <w:spacing w:line="560" w:lineRule="exact"/>
        <w:jc w:val="right"/>
        <w:rPr>
          <w:rFonts w:ascii="宋体" w:hAnsi="宋体" w:eastAsia="宋体" w:cs="Times New Roman"/>
          <w:sz w:val="24"/>
          <w:szCs w:val="24"/>
        </w:rPr>
      </w:pPr>
      <w:r>
        <w:rPr>
          <w:rFonts w:hint="eastAsia" w:ascii="宋体" w:hAnsi="宋体" w:eastAsia="宋体" w:cs="Times New Roman"/>
          <w:sz w:val="24"/>
          <w:szCs w:val="24"/>
        </w:rPr>
        <w:t xml:space="preserve"> 年       月      日</w:t>
      </w:r>
    </w:p>
    <w:p>
      <w:pPr>
        <w:topLinePunct/>
        <w:spacing w:line="560" w:lineRule="exact"/>
        <w:rPr>
          <w:rFonts w:ascii="宋体" w:hAnsi="宋体" w:eastAsia="宋体" w:cs="Times New Roman"/>
          <w:sz w:val="24"/>
          <w:szCs w:val="24"/>
        </w:rPr>
      </w:pPr>
      <w:r>
        <w:rPr>
          <w:rFonts w:hint="eastAsia" w:ascii="宋体" w:hAnsi="宋体" w:eastAsia="宋体" w:cs="Times New Roman"/>
          <w:sz w:val="24"/>
          <w:szCs w:val="24"/>
        </w:rPr>
        <w:t>填表说明：职务：1、经理；2、副经理；3、技术负责人；4、质量负责人；5、检测项目负责人；6、检测报告授权签字人。</w:t>
      </w:r>
    </w:p>
    <w:p>
      <w:pPr>
        <w:topLinePunct/>
        <w:spacing w:line="560" w:lineRule="exact"/>
        <w:rPr>
          <w:rFonts w:ascii="宋体" w:hAnsi="宋体" w:eastAsia="宋体" w:cs="Times New Roman"/>
          <w:sz w:val="24"/>
          <w:szCs w:val="24"/>
        </w:rPr>
      </w:pPr>
    </w:p>
    <w:p>
      <w:pPr>
        <w:topLinePunct/>
        <w:spacing w:line="560" w:lineRule="exact"/>
        <w:jc w:val="center"/>
        <w:rPr>
          <w:rFonts w:ascii="方正小标宋_GBK" w:hAnsi="方正小标宋_GBK" w:eastAsia="宋体" w:cs="宋体"/>
          <w:color w:val="FF0000"/>
          <w:sz w:val="36"/>
          <w:szCs w:val="36"/>
        </w:rPr>
        <w:sectPr>
          <w:pgSz w:w="16838" w:h="11906" w:orient="landscape"/>
          <w:pgMar w:top="1797" w:right="1440" w:bottom="1797" w:left="1440" w:header="851" w:footer="992" w:gutter="0"/>
          <w:pgNumType w:fmt="numberInDash"/>
          <w:cols w:space="720" w:num="1"/>
          <w:docGrid w:type="linesAndChars" w:linePitch="312" w:charSpace="0"/>
        </w:sectPr>
      </w:pPr>
    </w:p>
    <w:p>
      <w:pPr>
        <w:topLinePunct/>
        <w:spacing w:line="560" w:lineRule="exact"/>
        <w:jc w:val="center"/>
        <w:rPr>
          <w:rFonts w:ascii="方正小标宋_GBK" w:hAnsi="方正小标宋_GBK" w:eastAsia="仿宋" w:cs="Times New Roman"/>
          <w:sz w:val="36"/>
          <w:szCs w:val="36"/>
        </w:rPr>
      </w:pPr>
    </w:p>
    <w:p>
      <w:pPr>
        <w:topLinePunct/>
        <w:spacing w:line="560" w:lineRule="exact"/>
        <w:jc w:val="center"/>
        <w:rPr>
          <w:rFonts w:ascii="方正小标宋简体" w:hAnsi="方正小标宋简体" w:eastAsia="方正小标宋简体" w:cs="宋体"/>
          <w:sz w:val="36"/>
          <w:szCs w:val="36"/>
        </w:rPr>
      </w:pPr>
      <w:r>
        <w:rPr>
          <w:rFonts w:hint="eastAsia" w:ascii="方正小标宋简体" w:hAnsi="方正小标宋简体" w:eastAsia="方正小标宋简体" w:cs="Times New Roman"/>
          <w:sz w:val="36"/>
          <w:szCs w:val="36"/>
        </w:rPr>
        <w:t>检测</w:t>
      </w:r>
      <w:r>
        <w:rPr>
          <w:rFonts w:ascii="方正小标宋简体" w:hAnsi="方正小标宋简体" w:eastAsia="方正小标宋简体" w:cs="Times New Roman"/>
          <w:sz w:val="36"/>
          <w:szCs w:val="36"/>
        </w:rPr>
        <w:t>机构法定代表人声明</w:t>
      </w:r>
    </w:p>
    <w:p>
      <w:pPr>
        <w:topLinePunct/>
        <w:spacing w:line="560" w:lineRule="exact"/>
        <w:jc w:val="center"/>
        <w:rPr>
          <w:rFonts w:ascii="方正小标宋_GBK" w:hAnsi="Times New Roman" w:eastAsia="仿宋" w:cs="Times New Roman"/>
          <w:sz w:val="36"/>
          <w:szCs w:val="36"/>
        </w:rPr>
      </w:pPr>
    </w:p>
    <w:tbl>
      <w:tblPr>
        <w:tblStyle w:val="5"/>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5" w:hRule="atLeast"/>
          <w:jc w:val="center"/>
        </w:trPr>
        <w:tc>
          <w:tcPr>
            <w:tcW w:w="8640" w:type="dxa"/>
            <w:tcBorders>
              <w:top w:val="single" w:color="auto" w:sz="4" w:space="0"/>
              <w:left w:val="single" w:color="auto" w:sz="4" w:space="0"/>
              <w:bottom w:val="single" w:color="auto" w:sz="4" w:space="0"/>
              <w:right w:val="single" w:color="auto" w:sz="4" w:space="0"/>
            </w:tcBorders>
          </w:tcPr>
          <w:p>
            <w:pPr>
              <w:topLinePunct/>
              <w:spacing w:line="560" w:lineRule="exact"/>
              <w:ind w:firstLine="700" w:firstLineChars="250"/>
              <w:rPr>
                <w:rFonts w:ascii="宋体" w:hAnsi="宋体" w:eastAsia="宋体" w:cs="Times New Roman"/>
                <w:sz w:val="28"/>
                <w:szCs w:val="28"/>
              </w:rPr>
            </w:pPr>
          </w:p>
          <w:p>
            <w:pPr>
              <w:topLinePunct/>
              <w:spacing w:line="560" w:lineRule="exact"/>
              <w:ind w:firstLine="700" w:firstLineChars="250"/>
              <w:rPr>
                <w:rFonts w:ascii="宋体" w:hAnsi="宋体" w:eastAsia="宋体" w:cs="Times New Roman"/>
                <w:sz w:val="28"/>
                <w:szCs w:val="28"/>
              </w:rPr>
            </w:pPr>
            <w:r>
              <w:rPr>
                <w:rFonts w:hint="eastAsia" w:ascii="宋体" w:hAnsi="宋体" w:eastAsia="宋体" w:cs="Times New Roman"/>
                <w:sz w:val="28"/>
                <w:szCs w:val="28"/>
              </w:rPr>
              <w:t>本人</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rPr>
              <w:t>（法定代表人），</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rPr>
              <w:t>（身份证号码）郑重声明，本检测机构自愿申请接受信用评价，本单位填报的《济宁市建设工程质量检测机构信用评价申请表》及附件材料的全部内容是真实的，无任何隐瞒和欺骗行为。本单位诚实守信、守法经营，如有隐瞒情况或提供虚假材料以及经营管理中发生失信行为，本单位和本人愿意接受建设行政主管部门及其他有关部门依据有关法律法规给予的处罚。</w:t>
            </w:r>
          </w:p>
          <w:p>
            <w:pPr>
              <w:topLinePunct/>
              <w:spacing w:line="560" w:lineRule="exact"/>
              <w:rPr>
                <w:rFonts w:ascii="宋体" w:hAnsi="宋体" w:eastAsia="宋体" w:cs="Times New Roman"/>
                <w:sz w:val="28"/>
                <w:szCs w:val="28"/>
              </w:rPr>
            </w:pPr>
          </w:p>
          <w:p>
            <w:pPr>
              <w:topLinePunct/>
              <w:spacing w:line="560" w:lineRule="exact"/>
              <w:rPr>
                <w:rFonts w:ascii="宋体" w:hAnsi="宋体" w:eastAsia="宋体" w:cs="Times New Roman"/>
                <w:sz w:val="28"/>
                <w:szCs w:val="28"/>
              </w:rPr>
            </w:pPr>
          </w:p>
          <w:p>
            <w:pPr>
              <w:topLinePunct/>
              <w:spacing w:line="560" w:lineRule="exact"/>
              <w:rPr>
                <w:rFonts w:ascii="宋体" w:hAnsi="宋体" w:eastAsia="宋体" w:cs="Times New Roman"/>
                <w:sz w:val="28"/>
                <w:szCs w:val="28"/>
              </w:rPr>
            </w:pPr>
          </w:p>
          <w:p>
            <w:pPr>
              <w:topLinePunct/>
              <w:spacing w:line="560" w:lineRule="exact"/>
              <w:rPr>
                <w:rFonts w:ascii="宋体" w:hAnsi="宋体" w:eastAsia="宋体" w:cs="Times New Roman"/>
                <w:sz w:val="28"/>
                <w:szCs w:val="28"/>
              </w:rPr>
            </w:pPr>
          </w:p>
          <w:p>
            <w:pPr>
              <w:topLinePunct/>
              <w:spacing w:line="560" w:lineRule="exact"/>
              <w:rPr>
                <w:rFonts w:ascii="宋体" w:hAnsi="宋体" w:eastAsia="宋体" w:cs="Times New Roman"/>
                <w:sz w:val="28"/>
                <w:szCs w:val="28"/>
              </w:rPr>
            </w:pPr>
          </w:p>
          <w:p>
            <w:pPr>
              <w:topLinePunct/>
              <w:spacing w:line="560" w:lineRule="exact"/>
              <w:rPr>
                <w:rFonts w:ascii="宋体" w:hAnsi="宋体" w:eastAsia="宋体" w:cs="Times New Roman"/>
                <w:sz w:val="28"/>
                <w:szCs w:val="28"/>
              </w:rPr>
            </w:pPr>
          </w:p>
          <w:p>
            <w:pPr>
              <w:topLinePunct/>
              <w:spacing w:line="560" w:lineRule="exact"/>
              <w:rPr>
                <w:rFonts w:ascii="宋体" w:hAnsi="宋体" w:eastAsia="宋体" w:cs="Times New Roman"/>
                <w:sz w:val="28"/>
                <w:szCs w:val="28"/>
              </w:rPr>
            </w:pPr>
          </w:p>
          <w:p>
            <w:pPr>
              <w:topLinePunct/>
              <w:spacing w:line="560" w:lineRule="exact"/>
              <w:rPr>
                <w:rFonts w:ascii="宋体" w:hAnsi="宋体" w:eastAsia="宋体" w:cs="Times New Roman"/>
                <w:sz w:val="28"/>
                <w:szCs w:val="28"/>
              </w:rPr>
            </w:pPr>
            <w:r>
              <w:rPr>
                <w:rFonts w:hint="eastAsia" w:ascii="宋体" w:hAnsi="宋体" w:eastAsia="宋体" w:cs="Times New Roman"/>
                <w:sz w:val="28"/>
                <w:szCs w:val="28"/>
              </w:rPr>
              <w:t>法定代表人签字：</w:t>
            </w:r>
          </w:p>
          <w:p>
            <w:pPr>
              <w:topLinePunct/>
              <w:spacing w:line="560" w:lineRule="exact"/>
              <w:ind w:firstLine="555"/>
              <w:rPr>
                <w:rFonts w:ascii="宋体" w:hAnsi="宋体" w:eastAsia="宋体" w:cs="Times New Roman"/>
                <w:sz w:val="28"/>
                <w:szCs w:val="28"/>
              </w:rPr>
            </w:pPr>
            <w:r>
              <w:rPr>
                <w:rFonts w:hint="eastAsia" w:ascii="宋体" w:hAnsi="宋体" w:eastAsia="宋体" w:cs="Times New Roman"/>
                <w:sz w:val="28"/>
                <w:szCs w:val="28"/>
              </w:rPr>
              <w:t>（公章）</w:t>
            </w:r>
          </w:p>
          <w:p>
            <w:pPr>
              <w:topLinePunct/>
              <w:spacing w:line="560" w:lineRule="exact"/>
              <w:ind w:firstLine="5685"/>
              <w:rPr>
                <w:rFonts w:ascii="宋体" w:hAnsi="宋体" w:eastAsia="宋体" w:cs="Times New Roman"/>
                <w:sz w:val="28"/>
                <w:szCs w:val="28"/>
              </w:rPr>
            </w:pPr>
            <w:r>
              <w:rPr>
                <w:rFonts w:hint="eastAsia" w:ascii="宋体" w:hAnsi="宋体" w:eastAsia="宋体" w:cs="Times New Roman"/>
                <w:sz w:val="28"/>
                <w:szCs w:val="28"/>
              </w:rPr>
              <w:t>年      月     日</w:t>
            </w:r>
          </w:p>
        </w:tc>
      </w:tr>
    </w:tbl>
    <w:p>
      <w:pPr>
        <w:widowControl/>
        <w:jc w:val="center"/>
        <w:rPr>
          <w:rFonts w:ascii="宋体" w:hAnsi="宋体" w:eastAsia="仿宋" w:cs="Times New Roman"/>
          <w:vanish/>
          <w:kern w:val="0"/>
          <w:sz w:val="24"/>
          <w:szCs w:val="24"/>
        </w:rPr>
      </w:pPr>
    </w:p>
    <w:tbl>
      <w:tblPr>
        <w:tblStyle w:val="5"/>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6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2" w:hRule="atLeast"/>
          <w:jc w:val="center"/>
        </w:trPr>
        <w:tc>
          <w:tcPr>
            <w:tcW w:w="199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eastAsia="宋体" w:cs="Times New Roman"/>
                <w:sz w:val="24"/>
                <w:szCs w:val="24"/>
              </w:rPr>
            </w:pPr>
            <w:r>
              <w:rPr>
                <w:rFonts w:hint="eastAsia" w:ascii="宋体" w:hAnsi="宋体" w:eastAsia="宋体" w:cs="Times New Roman"/>
                <w:sz w:val="24"/>
                <w:szCs w:val="24"/>
              </w:rPr>
              <w:t>检测机构所在地设区市建设行政主管部门意见</w:t>
            </w:r>
          </w:p>
          <w:p>
            <w:pPr>
              <w:topLinePunct/>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（资料真实性）</w:t>
            </w:r>
          </w:p>
        </w:tc>
        <w:tc>
          <w:tcPr>
            <w:tcW w:w="6362" w:type="dxa"/>
            <w:tcBorders>
              <w:top w:val="single" w:color="auto" w:sz="4" w:space="0"/>
              <w:left w:val="nil"/>
              <w:bottom w:val="single" w:color="auto" w:sz="4" w:space="0"/>
              <w:right w:val="single" w:color="auto" w:sz="4" w:space="0"/>
            </w:tcBorders>
            <w:vAlign w:val="center"/>
          </w:tcPr>
          <w:p>
            <w:pPr>
              <w:topLinePunct/>
              <w:spacing w:line="400" w:lineRule="exact"/>
              <w:jc w:val="left"/>
              <w:rPr>
                <w:rFonts w:ascii="宋体" w:hAnsi="宋体" w:eastAsia="宋体" w:cs="Times New Roman"/>
                <w:sz w:val="24"/>
                <w:szCs w:val="24"/>
              </w:rPr>
            </w:pPr>
          </w:p>
          <w:p>
            <w:pPr>
              <w:topLinePunct/>
              <w:spacing w:line="400" w:lineRule="exact"/>
              <w:ind w:firstLine="470" w:firstLineChars="196"/>
              <w:jc w:val="left"/>
              <w:rPr>
                <w:rFonts w:ascii="宋体" w:hAnsi="宋体" w:eastAsia="宋体" w:cs="Times New Roman"/>
                <w:kern w:val="0"/>
                <w:sz w:val="24"/>
                <w:szCs w:val="24"/>
              </w:rPr>
            </w:pPr>
          </w:p>
          <w:p>
            <w:pPr>
              <w:topLinePunct/>
              <w:spacing w:line="400" w:lineRule="exact"/>
              <w:ind w:firstLine="470" w:firstLineChars="196"/>
              <w:jc w:val="left"/>
              <w:rPr>
                <w:rFonts w:ascii="宋体" w:hAnsi="宋体" w:eastAsia="宋体" w:cs="Times New Roman"/>
                <w:kern w:val="0"/>
                <w:sz w:val="24"/>
                <w:szCs w:val="24"/>
              </w:rPr>
            </w:pPr>
          </w:p>
          <w:p>
            <w:pPr>
              <w:topLinePunct/>
              <w:spacing w:line="400" w:lineRule="exact"/>
              <w:ind w:firstLine="470" w:firstLineChars="196"/>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负责人（签字）：          单位盖章：</w:t>
            </w:r>
          </w:p>
          <w:p>
            <w:pPr>
              <w:topLinePunct/>
              <w:spacing w:line="400" w:lineRule="exact"/>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 xml:space="preserve">       年    月   日              年   月   日</w:t>
            </w:r>
          </w:p>
          <w:p>
            <w:pPr>
              <w:topLinePunct/>
              <w:spacing w:line="400" w:lineRule="exact"/>
              <w:ind w:firstLine="1080" w:firstLineChars="450"/>
              <w:jc w:val="left"/>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3" w:hRule="atLeast"/>
          <w:jc w:val="center"/>
        </w:trPr>
        <w:tc>
          <w:tcPr>
            <w:tcW w:w="199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设区市建设行政</w:t>
            </w:r>
          </w:p>
          <w:p>
            <w:pPr>
              <w:topLinePunct/>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主管部门</w:t>
            </w:r>
          </w:p>
          <w:p>
            <w:pPr>
              <w:topLinePunct/>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评价意见</w:t>
            </w:r>
          </w:p>
          <w:p>
            <w:pPr>
              <w:topLinePunct/>
              <w:spacing w:line="400" w:lineRule="exact"/>
              <w:jc w:val="center"/>
              <w:rPr>
                <w:rFonts w:ascii="宋体" w:hAnsi="宋体" w:eastAsia="宋体" w:cs="Times New Roman"/>
                <w:sz w:val="24"/>
                <w:szCs w:val="24"/>
              </w:rPr>
            </w:pPr>
          </w:p>
        </w:tc>
        <w:tc>
          <w:tcPr>
            <w:tcW w:w="6362" w:type="dxa"/>
            <w:tcBorders>
              <w:top w:val="single" w:color="auto" w:sz="4" w:space="0"/>
              <w:left w:val="nil"/>
              <w:bottom w:val="single" w:color="auto" w:sz="4" w:space="0"/>
              <w:right w:val="single" w:color="auto" w:sz="4" w:space="0"/>
            </w:tcBorders>
            <w:vAlign w:val="center"/>
          </w:tcPr>
          <w:p>
            <w:pPr>
              <w:topLinePunct/>
              <w:spacing w:line="400" w:lineRule="exact"/>
              <w:ind w:firstLine="470" w:firstLineChars="196"/>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r>
              <w:rPr>
                <w:rFonts w:hint="eastAsia" w:ascii="宋体" w:hAnsi="宋体" w:eastAsia="宋体" w:cs="Times New Roman"/>
                <w:sz w:val="24"/>
                <w:szCs w:val="24"/>
              </w:rPr>
              <w:t>评价等级:</w:t>
            </w:r>
          </w:p>
          <w:p>
            <w:pPr>
              <w:topLinePunct/>
              <w:spacing w:line="400" w:lineRule="exact"/>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负责人（签字）：          单位盖章：</w:t>
            </w:r>
          </w:p>
          <w:p>
            <w:pPr>
              <w:topLinePunct/>
              <w:spacing w:line="400" w:lineRule="exact"/>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 xml:space="preserve">       年    月   日              年   月   日</w:t>
            </w:r>
          </w:p>
          <w:p>
            <w:pPr>
              <w:topLinePunct/>
              <w:spacing w:line="400" w:lineRule="exact"/>
              <w:ind w:firstLine="4920" w:firstLineChars="2050"/>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3" w:hRule="atLeast"/>
          <w:jc w:val="center"/>
        </w:trPr>
        <w:tc>
          <w:tcPr>
            <w:tcW w:w="199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eastAsia="宋体" w:cs="Times New Roman"/>
                <w:kern w:val="0"/>
                <w:sz w:val="24"/>
                <w:szCs w:val="24"/>
              </w:rPr>
            </w:pPr>
          </w:p>
          <w:p>
            <w:pPr>
              <w:topLinePunct/>
              <w:spacing w:line="400" w:lineRule="exact"/>
              <w:jc w:val="center"/>
              <w:rPr>
                <w:rFonts w:ascii="宋体" w:hAnsi="宋体" w:eastAsia="宋体" w:cs="Times New Roman"/>
                <w:sz w:val="24"/>
                <w:szCs w:val="24"/>
              </w:rPr>
            </w:pPr>
            <w:r>
              <w:rPr>
                <w:rFonts w:hint="eastAsia" w:ascii="宋体" w:hAnsi="宋体" w:eastAsia="宋体" w:cs="Times New Roman"/>
                <w:sz w:val="24"/>
                <w:szCs w:val="24"/>
              </w:rPr>
              <w:t>省级建设行政</w:t>
            </w:r>
          </w:p>
          <w:p>
            <w:pPr>
              <w:topLinePunct/>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主管部门</w:t>
            </w:r>
          </w:p>
          <w:p>
            <w:pPr>
              <w:topLinePunct/>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评价意见</w:t>
            </w:r>
          </w:p>
          <w:p>
            <w:pPr>
              <w:topLinePunct/>
              <w:spacing w:line="400" w:lineRule="exact"/>
              <w:jc w:val="center"/>
              <w:rPr>
                <w:rFonts w:ascii="宋体" w:hAnsi="宋体" w:eastAsia="宋体" w:cs="Times New Roman"/>
                <w:kern w:val="0"/>
                <w:sz w:val="24"/>
                <w:szCs w:val="24"/>
              </w:rPr>
            </w:pPr>
          </w:p>
        </w:tc>
        <w:tc>
          <w:tcPr>
            <w:tcW w:w="6362" w:type="dxa"/>
            <w:tcBorders>
              <w:top w:val="single" w:color="auto" w:sz="4" w:space="0"/>
              <w:left w:val="nil"/>
              <w:bottom w:val="single" w:color="auto" w:sz="4" w:space="0"/>
              <w:right w:val="single" w:color="auto" w:sz="4" w:space="0"/>
            </w:tcBorders>
            <w:vAlign w:val="center"/>
          </w:tcPr>
          <w:p>
            <w:pPr>
              <w:topLinePunct/>
              <w:spacing w:line="400" w:lineRule="exact"/>
              <w:rPr>
                <w:rFonts w:ascii="宋体" w:hAnsi="宋体" w:eastAsia="宋体" w:cs="Times New Roman"/>
                <w:kern w:val="0"/>
                <w:sz w:val="24"/>
                <w:szCs w:val="24"/>
              </w:rPr>
            </w:pPr>
            <w:r>
              <w:rPr>
                <w:rFonts w:hint="eastAsia" w:ascii="宋体" w:hAnsi="宋体" w:eastAsia="宋体" w:cs="Times New Roman"/>
                <w:sz w:val="24"/>
                <w:szCs w:val="24"/>
              </w:rPr>
              <w:t>信用等级:</w:t>
            </w:r>
          </w:p>
          <w:p>
            <w:pPr>
              <w:topLinePunct/>
              <w:spacing w:line="400" w:lineRule="exact"/>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负责人（签字）：          单位盖章：</w:t>
            </w:r>
          </w:p>
          <w:p>
            <w:pPr>
              <w:topLinePunct/>
              <w:spacing w:line="400" w:lineRule="exact"/>
              <w:jc w:val="left"/>
              <w:rPr>
                <w:rFonts w:ascii="宋体" w:hAnsi="宋体" w:eastAsia="宋体" w:cs="Times New Roman"/>
                <w:kern w:val="0"/>
                <w:sz w:val="24"/>
                <w:szCs w:val="24"/>
              </w:rPr>
            </w:pPr>
          </w:p>
          <w:p>
            <w:pPr>
              <w:topLinePunct/>
              <w:spacing w:line="400" w:lineRule="exact"/>
              <w:jc w:val="left"/>
              <w:rPr>
                <w:rFonts w:ascii="宋体" w:hAnsi="宋体" w:eastAsia="宋体" w:cs="Times New Roman"/>
                <w:sz w:val="24"/>
                <w:szCs w:val="24"/>
              </w:rPr>
            </w:pPr>
            <w:r>
              <w:rPr>
                <w:rFonts w:hint="eastAsia" w:ascii="宋体" w:hAnsi="宋体" w:eastAsia="宋体" w:cs="Times New Roman"/>
                <w:kern w:val="0"/>
                <w:sz w:val="24"/>
                <w:szCs w:val="24"/>
              </w:rPr>
              <w:t xml:space="preserve">       年    月   日              年   月   日</w:t>
            </w:r>
          </w:p>
        </w:tc>
      </w:tr>
    </w:tbl>
    <w:p>
      <w:pPr>
        <w:spacing w:line="560" w:lineRule="exact"/>
        <w:rPr>
          <w:rFonts w:ascii="仿宋_GB2312"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spacing w:line="520" w:lineRule="exact"/>
        <w:rPr>
          <w:rFonts w:ascii="黑体" w:hAnsi="黑体" w:eastAsia="黑体" w:cs="Times New Roman"/>
          <w:color w:val="000000"/>
          <w:sz w:val="32"/>
          <w:szCs w:val="32"/>
        </w:rPr>
      </w:pPr>
      <w:r>
        <w:rPr>
          <w:rFonts w:hint="eastAsia" w:ascii="黑体" w:hAnsi="黑体" w:eastAsia="黑体" w:cs="Times New Roman"/>
          <w:color w:val="000000"/>
          <w:sz w:val="32"/>
          <w:szCs w:val="32"/>
        </w:rPr>
        <w:t>附件2：</w:t>
      </w:r>
    </w:p>
    <w:p>
      <w:pPr>
        <w:ind w:firstLine="400" w:firstLineChars="100"/>
        <w:jc w:val="center"/>
        <w:rPr>
          <w:rFonts w:ascii="方正小标宋简体" w:hAnsi="方正小标宋简体" w:eastAsia="方正小标宋简体" w:cs="Times New Roman"/>
          <w:bCs/>
          <w:sz w:val="40"/>
          <w:szCs w:val="40"/>
        </w:rPr>
      </w:pPr>
      <w:r>
        <w:rPr>
          <w:rFonts w:hint="eastAsia" w:ascii="方正小标宋简体" w:hAnsi="方正小标宋简体" w:eastAsia="方正小标宋简体" w:cs="Times New Roman"/>
          <w:bCs/>
          <w:sz w:val="40"/>
          <w:szCs w:val="40"/>
        </w:rPr>
        <w:t>山东省建设工程质量检测机构信用评价表</w:t>
      </w:r>
    </w:p>
    <w:p>
      <w:pPr>
        <w:ind w:firstLine="100" w:firstLineChars="100"/>
        <w:jc w:val="center"/>
        <w:rPr>
          <w:rFonts w:ascii="宋体" w:hAnsi="Calibri" w:eastAsia="宋体" w:cs="Times New Roman"/>
          <w:sz w:val="10"/>
          <w:szCs w:val="10"/>
        </w:rPr>
      </w:pPr>
    </w:p>
    <w:tbl>
      <w:tblPr>
        <w:tblStyle w:val="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493"/>
        <w:gridCol w:w="1195"/>
        <w:gridCol w:w="5528"/>
        <w:gridCol w:w="1522"/>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blHeader/>
          <w:jc w:val="center"/>
        </w:trPr>
        <w:tc>
          <w:tcPr>
            <w:tcW w:w="927" w:type="dxa"/>
            <w:gridSpan w:val="2"/>
            <w:vAlign w:val="center"/>
          </w:tcPr>
          <w:p>
            <w:pPr>
              <w:jc w:val="center"/>
              <w:rPr>
                <w:rFonts w:ascii="Times New Roman" w:hAnsi="Times New Roman" w:eastAsia="宋体" w:cs="Times New Roman"/>
                <w:b/>
                <w:bCs/>
                <w:kern w:val="0"/>
                <w:sz w:val="22"/>
              </w:rPr>
            </w:pPr>
            <w:r>
              <w:rPr>
                <w:rFonts w:hint="eastAsia" w:ascii="Times New Roman" w:hAnsi="Times New Roman" w:eastAsia="宋体" w:cs="Times New Roman"/>
                <w:b/>
                <w:bCs/>
                <w:kern w:val="0"/>
                <w:sz w:val="22"/>
              </w:rPr>
              <w:t>序号</w:t>
            </w:r>
          </w:p>
        </w:tc>
        <w:tc>
          <w:tcPr>
            <w:tcW w:w="1195" w:type="dxa"/>
            <w:vAlign w:val="center"/>
          </w:tcPr>
          <w:p>
            <w:pPr>
              <w:jc w:val="center"/>
              <w:rPr>
                <w:rFonts w:ascii="Times New Roman" w:hAnsi="Times New Roman" w:eastAsia="宋体" w:cs="Times New Roman"/>
                <w:b/>
                <w:bCs/>
                <w:kern w:val="0"/>
                <w:sz w:val="22"/>
              </w:rPr>
            </w:pPr>
            <w:r>
              <w:rPr>
                <w:rFonts w:hint="eastAsia" w:ascii="Times New Roman" w:hAnsi="Times New Roman" w:eastAsia="宋体" w:cs="Times New Roman"/>
                <w:b/>
                <w:bCs/>
                <w:kern w:val="0"/>
                <w:sz w:val="22"/>
              </w:rPr>
              <w:t>评价内容</w:t>
            </w:r>
          </w:p>
        </w:tc>
        <w:tc>
          <w:tcPr>
            <w:tcW w:w="5528" w:type="dxa"/>
            <w:vAlign w:val="center"/>
          </w:tcPr>
          <w:p>
            <w:pPr>
              <w:jc w:val="center"/>
              <w:rPr>
                <w:rFonts w:ascii="Times New Roman" w:hAnsi="Times New Roman" w:eastAsia="宋体" w:cs="Times New Roman"/>
                <w:b/>
                <w:bCs/>
                <w:kern w:val="0"/>
                <w:sz w:val="22"/>
              </w:rPr>
            </w:pPr>
            <w:r>
              <w:rPr>
                <w:rFonts w:hint="eastAsia" w:ascii="Times New Roman" w:hAnsi="Times New Roman" w:eastAsia="宋体" w:cs="Times New Roman"/>
                <w:b/>
                <w:bCs/>
                <w:kern w:val="0"/>
                <w:sz w:val="22"/>
              </w:rPr>
              <w:t>评价标准</w:t>
            </w:r>
          </w:p>
        </w:tc>
        <w:tc>
          <w:tcPr>
            <w:tcW w:w="1522" w:type="dxa"/>
            <w:vAlign w:val="center"/>
          </w:tcPr>
          <w:p>
            <w:pPr>
              <w:jc w:val="center"/>
              <w:rPr>
                <w:rFonts w:ascii="宋体" w:hAnsi="Calibri" w:eastAsia="宋体" w:cs="宋体"/>
                <w:b/>
                <w:bCs/>
                <w:kern w:val="0"/>
                <w:sz w:val="22"/>
              </w:rPr>
            </w:pPr>
            <w:r>
              <w:rPr>
                <w:rFonts w:hint="eastAsia" w:ascii="宋体" w:hAnsi="宋体" w:eastAsia="宋体" w:cs="宋体"/>
                <w:b/>
                <w:bCs/>
                <w:kern w:val="0"/>
                <w:sz w:val="22"/>
              </w:rPr>
              <w:t>评分标准</w:t>
            </w:r>
          </w:p>
        </w:tc>
        <w:tc>
          <w:tcPr>
            <w:tcW w:w="749" w:type="dxa"/>
            <w:vAlign w:val="center"/>
          </w:tcPr>
          <w:p>
            <w:pPr>
              <w:jc w:val="center"/>
              <w:rPr>
                <w:rFonts w:ascii="宋体" w:hAnsi="Calibri" w:eastAsia="宋体" w:cs="宋体"/>
                <w:b/>
                <w:bCs/>
                <w:kern w:val="0"/>
                <w:sz w:val="22"/>
              </w:rPr>
            </w:pPr>
            <w:r>
              <w:rPr>
                <w:rFonts w:hint="eastAsia" w:ascii="宋体" w:hAnsi="宋体" w:eastAsia="宋体" w:cs="宋体"/>
                <w:b/>
                <w:bCs/>
                <w:kern w:val="0"/>
                <w:sz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34" w:type="dxa"/>
            <w:vMerge w:val="restart"/>
            <w:vAlign w:val="center"/>
          </w:tcPr>
          <w:p>
            <w:pPr>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szCs w:val="21"/>
              </w:rPr>
              <w:t>否决项</w:t>
            </w:r>
          </w:p>
        </w:tc>
        <w:tc>
          <w:tcPr>
            <w:tcW w:w="493" w:type="dxa"/>
            <w:vMerge w:val="restart"/>
            <w:vAlign w:val="center"/>
          </w:tcPr>
          <w:p>
            <w:pPr>
              <w:jc w:val="center"/>
              <w:rPr>
                <w:rFonts w:ascii="Times New Roman" w:hAnsi="Times New Roman" w:eastAsia="宋体" w:cs="Times New Roman"/>
                <w:b/>
                <w:bCs/>
                <w:color w:val="000000"/>
                <w:kern w:val="0"/>
                <w:szCs w:val="21"/>
              </w:rPr>
            </w:pPr>
            <w:r>
              <w:rPr>
                <w:rFonts w:ascii="Times New Roman" w:hAnsi="Times New Roman" w:eastAsia="宋体" w:cs="Times New Roman"/>
                <w:bCs/>
                <w:color w:val="000000"/>
                <w:szCs w:val="21"/>
              </w:rPr>
              <w:t>1</w:t>
            </w:r>
          </w:p>
        </w:tc>
        <w:tc>
          <w:tcPr>
            <w:tcW w:w="1195" w:type="dxa"/>
            <w:vMerge w:val="restart"/>
            <w:vAlign w:val="center"/>
          </w:tcPr>
          <w:p>
            <w:pPr>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Cs/>
                <w:color w:val="000000"/>
                <w:szCs w:val="21"/>
              </w:rPr>
              <w:t>建设检测行业管理</w:t>
            </w:r>
          </w:p>
        </w:tc>
        <w:tc>
          <w:tcPr>
            <w:tcW w:w="5528" w:type="dxa"/>
            <w:vAlign w:val="center"/>
          </w:tcPr>
          <w:p>
            <w:pPr>
              <w:widowControl/>
              <w:rPr>
                <w:rFonts w:ascii="宋体" w:hAnsi="宋体" w:eastAsia="宋体" w:cs="Times New Roman"/>
                <w:b/>
                <w:bCs/>
                <w:color w:val="000000"/>
                <w:kern w:val="0"/>
                <w:szCs w:val="21"/>
              </w:rPr>
            </w:pPr>
            <w:r>
              <w:rPr>
                <w:rFonts w:hint="eastAsia" w:ascii="宋体" w:hAnsi="宋体" w:eastAsia="宋体" w:cs="Times New Roman"/>
                <w:color w:val="000000"/>
                <w:szCs w:val="21"/>
              </w:rPr>
              <w:t>1、超出资质范围从事检测活动的；</w:t>
            </w:r>
          </w:p>
        </w:tc>
        <w:tc>
          <w:tcPr>
            <w:tcW w:w="1522" w:type="dxa"/>
            <w:vAlign w:val="center"/>
          </w:tcPr>
          <w:p>
            <w:pPr>
              <w:jc w:val="center"/>
              <w:rPr>
                <w:rFonts w:ascii="宋体" w:hAnsi="Calibri" w:eastAsia="宋体" w:cs="宋体"/>
                <w:b/>
                <w:bCs/>
                <w:color w:val="000000"/>
                <w:kern w:val="0"/>
                <w:szCs w:val="21"/>
              </w:rPr>
            </w:pPr>
          </w:p>
        </w:tc>
        <w:tc>
          <w:tcPr>
            <w:tcW w:w="749" w:type="dxa"/>
            <w:vAlign w:val="center"/>
          </w:tcPr>
          <w:p>
            <w:pPr>
              <w:jc w:val="center"/>
              <w:rPr>
                <w:rFonts w:ascii="宋体" w:hAnsi="Calibri" w:eastAsia="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34" w:type="dxa"/>
            <w:vMerge w:val="continue"/>
            <w:vAlign w:val="center"/>
          </w:tcPr>
          <w:p>
            <w:pPr>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
                <w:bCs/>
                <w:color w:val="000000"/>
                <w:kern w:val="0"/>
                <w:szCs w:val="21"/>
              </w:rPr>
            </w:pPr>
          </w:p>
        </w:tc>
        <w:tc>
          <w:tcPr>
            <w:tcW w:w="1195" w:type="dxa"/>
            <w:vMerge w:val="continue"/>
            <w:vAlign w:val="center"/>
          </w:tcPr>
          <w:p>
            <w:pPr>
              <w:widowControl/>
              <w:rPr>
                <w:rFonts w:ascii="Times New Roman" w:hAnsi="Times New Roman" w:eastAsia="宋体" w:cs="Times New Roman"/>
                <w:b/>
                <w:bCs/>
                <w:color w:val="000000"/>
                <w:kern w:val="0"/>
                <w:szCs w:val="21"/>
              </w:rPr>
            </w:pPr>
          </w:p>
        </w:tc>
        <w:tc>
          <w:tcPr>
            <w:tcW w:w="5528" w:type="dxa"/>
            <w:vAlign w:val="center"/>
          </w:tcPr>
          <w:p>
            <w:pPr>
              <w:widowControl/>
              <w:rPr>
                <w:rFonts w:ascii="宋体" w:hAnsi="宋体" w:eastAsia="宋体" w:cs="Times New Roman"/>
                <w:color w:val="000000"/>
                <w:szCs w:val="21"/>
              </w:rPr>
            </w:pPr>
            <w:r>
              <w:rPr>
                <w:rFonts w:hint="eastAsia" w:ascii="宋体" w:hAnsi="宋体" w:eastAsia="宋体" w:cs="Times New Roman"/>
                <w:color w:val="000000"/>
                <w:szCs w:val="21"/>
              </w:rPr>
              <w:t>2、涂改、倒卖、出租、出借或者以其他形式非法转让资质证书的；</w:t>
            </w:r>
          </w:p>
        </w:tc>
        <w:tc>
          <w:tcPr>
            <w:tcW w:w="1522" w:type="dxa"/>
            <w:vAlign w:val="center"/>
          </w:tcPr>
          <w:p>
            <w:pPr>
              <w:jc w:val="center"/>
              <w:rPr>
                <w:rFonts w:ascii="宋体" w:hAnsi="Calibri" w:eastAsia="宋体" w:cs="宋体"/>
                <w:b/>
                <w:bCs/>
                <w:color w:val="000000"/>
                <w:kern w:val="0"/>
                <w:szCs w:val="21"/>
              </w:rPr>
            </w:pPr>
          </w:p>
        </w:tc>
        <w:tc>
          <w:tcPr>
            <w:tcW w:w="749" w:type="dxa"/>
            <w:vAlign w:val="center"/>
          </w:tcPr>
          <w:p>
            <w:pPr>
              <w:jc w:val="center"/>
              <w:rPr>
                <w:rFonts w:ascii="宋体" w:hAnsi="Calibri" w:eastAsia="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34" w:type="dxa"/>
            <w:vMerge w:val="continue"/>
            <w:vAlign w:val="center"/>
          </w:tcPr>
          <w:p>
            <w:pPr>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
                <w:bCs/>
                <w:color w:val="000000"/>
                <w:kern w:val="0"/>
                <w:szCs w:val="21"/>
              </w:rPr>
            </w:pPr>
          </w:p>
        </w:tc>
        <w:tc>
          <w:tcPr>
            <w:tcW w:w="1195" w:type="dxa"/>
            <w:vMerge w:val="continue"/>
            <w:vAlign w:val="center"/>
          </w:tcPr>
          <w:p>
            <w:pPr>
              <w:widowControl/>
              <w:rPr>
                <w:rFonts w:ascii="Times New Roman" w:hAnsi="Times New Roman" w:eastAsia="宋体" w:cs="Times New Roman"/>
                <w:b/>
                <w:bCs/>
                <w:color w:val="000000"/>
                <w:kern w:val="0"/>
                <w:szCs w:val="21"/>
              </w:rPr>
            </w:pPr>
          </w:p>
        </w:tc>
        <w:tc>
          <w:tcPr>
            <w:tcW w:w="5528" w:type="dxa"/>
            <w:vAlign w:val="center"/>
          </w:tcPr>
          <w:p>
            <w:pPr>
              <w:widowControl/>
              <w:rPr>
                <w:rFonts w:ascii="宋体" w:hAnsi="宋体" w:eastAsia="宋体" w:cs="Times New Roman"/>
                <w:b/>
                <w:bCs/>
                <w:color w:val="000000"/>
                <w:kern w:val="0"/>
                <w:szCs w:val="21"/>
              </w:rPr>
            </w:pPr>
            <w:r>
              <w:rPr>
                <w:rFonts w:hint="eastAsia" w:ascii="宋体" w:hAnsi="宋体" w:eastAsia="宋体" w:cs="Times New Roman"/>
                <w:color w:val="000000"/>
                <w:szCs w:val="21"/>
              </w:rPr>
              <w:t>3、转包检测业务的；</w:t>
            </w:r>
          </w:p>
        </w:tc>
        <w:tc>
          <w:tcPr>
            <w:tcW w:w="1522" w:type="dxa"/>
            <w:vAlign w:val="center"/>
          </w:tcPr>
          <w:p>
            <w:pPr>
              <w:jc w:val="center"/>
              <w:rPr>
                <w:rFonts w:ascii="宋体" w:hAnsi="Calibri" w:eastAsia="宋体" w:cs="宋体"/>
                <w:b/>
                <w:bCs/>
                <w:color w:val="000000"/>
                <w:kern w:val="0"/>
                <w:szCs w:val="21"/>
              </w:rPr>
            </w:pPr>
          </w:p>
        </w:tc>
        <w:tc>
          <w:tcPr>
            <w:tcW w:w="749" w:type="dxa"/>
            <w:vAlign w:val="center"/>
          </w:tcPr>
          <w:p>
            <w:pPr>
              <w:jc w:val="center"/>
              <w:rPr>
                <w:rFonts w:ascii="宋体" w:hAnsi="Calibri" w:eastAsia="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34" w:type="dxa"/>
            <w:vMerge w:val="continue"/>
            <w:vAlign w:val="center"/>
          </w:tcPr>
          <w:p>
            <w:pPr>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
                <w:bCs/>
                <w:color w:val="000000"/>
                <w:kern w:val="0"/>
                <w:szCs w:val="21"/>
              </w:rPr>
            </w:pPr>
          </w:p>
        </w:tc>
        <w:tc>
          <w:tcPr>
            <w:tcW w:w="1195" w:type="dxa"/>
            <w:vMerge w:val="continue"/>
            <w:vAlign w:val="center"/>
          </w:tcPr>
          <w:p>
            <w:pPr>
              <w:widowControl/>
              <w:rPr>
                <w:rFonts w:ascii="Times New Roman" w:hAnsi="Times New Roman" w:eastAsia="宋体" w:cs="Times New Roman"/>
                <w:b/>
                <w:bCs/>
                <w:color w:val="000000"/>
                <w:kern w:val="0"/>
                <w:szCs w:val="21"/>
              </w:rPr>
            </w:pPr>
          </w:p>
        </w:tc>
        <w:tc>
          <w:tcPr>
            <w:tcW w:w="5528" w:type="dxa"/>
            <w:vAlign w:val="center"/>
          </w:tcPr>
          <w:p>
            <w:pPr>
              <w:widowControl/>
              <w:rPr>
                <w:rFonts w:ascii="宋体" w:hAnsi="宋体" w:eastAsia="宋体" w:cs="Times New Roman"/>
                <w:b/>
                <w:bCs/>
                <w:color w:val="000000"/>
                <w:kern w:val="0"/>
                <w:szCs w:val="21"/>
              </w:rPr>
            </w:pPr>
            <w:r>
              <w:rPr>
                <w:rFonts w:hint="eastAsia" w:ascii="宋体" w:hAnsi="宋体" w:eastAsia="宋体" w:cs="Times New Roman"/>
                <w:color w:val="000000"/>
                <w:szCs w:val="21"/>
                <w:shd w:val="clear" w:color="auto" w:fill="FFFFFF"/>
              </w:rPr>
              <w:t>4、隐瞒有关情况或提供虚假材料等欺骗手段取得资质证书的；</w:t>
            </w:r>
          </w:p>
        </w:tc>
        <w:tc>
          <w:tcPr>
            <w:tcW w:w="1522" w:type="dxa"/>
            <w:vAlign w:val="center"/>
          </w:tcPr>
          <w:p>
            <w:pPr>
              <w:jc w:val="center"/>
              <w:rPr>
                <w:rFonts w:ascii="宋体" w:hAnsi="Calibri" w:eastAsia="宋体" w:cs="宋体"/>
                <w:b/>
                <w:bCs/>
                <w:color w:val="000000"/>
                <w:kern w:val="0"/>
                <w:szCs w:val="21"/>
              </w:rPr>
            </w:pPr>
          </w:p>
        </w:tc>
        <w:tc>
          <w:tcPr>
            <w:tcW w:w="749" w:type="dxa"/>
            <w:vAlign w:val="center"/>
          </w:tcPr>
          <w:p>
            <w:pPr>
              <w:jc w:val="center"/>
              <w:rPr>
                <w:rFonts w:ascii="宋体" w:hAnsi="Calibri" w:eastAsia="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434" w:type="dxa"/>
            <w:vMerge w:val="continue"/>
            <w:vAlign w:val="center"/>
          </w:tcPr>
          <w:p>
            <w:pPr>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
                <w:bCs/>
                <w:color w:val="000000"/>
                <w:kern w:val="0"/>
                <w:szCs w:val="21"/>
              </w:rPr>
            </w:pPr>
          </w:p>
        </w:tc>
        <w:tc>
          <w:tcPr>
            <w:tcW w:w="1195" w:type="dxa"/>
            <w:vMerge w:val="continue"/>
            <w:vAlign w:val="center"/>
          </w:tcPr>
          <w:p>
            <w:pPr>
              <w:widowControl/>
              <w:rPr>
                <w:rFonts w:ascii="Times New Roman" w:hAnsi="Times New Roman" w:eastAsia="宋体" w:cs="Times New Roman"/>
                <w:b/>
                <w:bCs/>
                <w:color w:val="000000"/>
                <w:kern w:val="0"/>
                <w:szCs w:val="21"/>
              </w:rPr>
            </w:pPr>
          </w:p>
        </w:tc>
        <w:tc>
          <w:tcPr>
            <w:tcW w:w="5528" w:type="dxa"/>
            <w:vAlign w:val="center"/>
          </w:tcPr>
          <w:p>
            <w:pPr>
              <w:widowControl/>
              <w:rPr>
                <w:rFonts w:ascii="宋体" w:hAnsi="宋体" w:eastAsia="宋体" w:cs="Times New Roman"/>
                <w:b/>
                <w:bCs/>
                <w:color w:val="000000"/>
                <w:kern w:val="0"/>
                <w:szCs w:val="21"/>
              </w:rPr>
            </w:pPr>
            <w:r>
              <w:rPr>
                <w:rFonts w:hint="eastAsia" w:ascii="宋体" w:hAnsi="宋体" w:eastAsia="宋体" w:cs="Times New Roman"/>
                <w:color w:val="000000"/>
                <w:szCs w:val="21"/>
                <w:shd w:val="clear" w:color="auto" w:fill="FFFFFF"/>
              </w:rPr>
              <w:t>5、伪造检测数据，出具虚假检测报告、鉴定结论及具有证明作用的数据和结果的；</w:t>
            </w:r>
          </w:p>
        </w:tc>
        <w:tc>
          <w:tcPr>
            <w:tcW w:w="1522" w:type="dxa"/>
            <w:vAlign w:val="center"/>
          </w:tcPr>
          <w:p>
            <w:pPr>
              <w:jc w:val="center"/>
              <w:rPr>
                <w:rFonts w:ascii="宋体" w:hAnsi="Calibri" w:eastAsia="宋体" w:cs="宋体"/>
                <w:b/>
                <w:bCs/>
                <w:color w:val="000000"/>
                <w:kern w:val="0"/>
                <w:szCs w:val="21"/>
              </w:rPr>
            </w:pPr>
          </w:p>
        </w:tc>
        <w:tc>
          <w:tcPr>
            <w:tcW w:w="749" w:type="dxa"/>
            <w:vAlign w:val="center"/>
          </w:tcPr>
          <w:p>
            <w:pPr>
              <w:jc w:val="center"/>
              <w:rPr>
                <w:rFonts w:ascii="宋体" w:hAnsi="Calibri" w:eastAsia="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34" w:type="dxa"/>
            <w:vMerge w:val="continue"/>
            <w:vAlign w:val="center"/>
          </w:tcPr>
          <w:p>
            <w:pPr>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
                <w:bCs/>
                <w:color w:val="000000"/>
                <w:kern w:val="0"/>
                <w:szCs w:val="21"/>
              </w:rPr>
            </w:pPr>
          </w:p>
        </w:tc>
        <w:tc>
          <w:tcPr>
            <w:tcW w:w="1195" w:type="dxa"/>
            <w:vMerge w:val="continue"/>
            <w:vAlign w:val="center"/>
          </w:tcPr>
          <w:p>
            <w:pPr>
              <w:widowControl/>
              <w:rPr>
                <w:rFonts w:ascii="Times New Roman" w:hAnsi="Times New Roman" w:eastAsia="宋体" w:cs="Times New Roman"/>
                <w:b/>
                <w:bCs/>
                <w:color w:val="000000"/>
                <w:kern w:val="0"/>
                <w:szCs w:val="21"/>
              </w:rPr>
            </w:pPr>
          </w:p>
        </w:tc>
        <w:tc>
          <w:tcPr>
            <w:tcW w:w="5528" w:type="dxa"/>
            <w:vAlign w:val="center"/>
          </w:tcPr>
          <w:p>
            <w:pPr>
              <w:widowControl/>
              <w:rPr>
                <w:rFonts w:ascii="宋体" w:hAnsi="宋体" w:eastAsia="宋体" w:cs="Times New Roman"/>
                <w:b/>
                <w:color w:val="000000"/>
                <w:szCs w:val="21"/>
                <w:shd w:val="clear" w:color="auto" w:fill="FFFFFF"/>
              </w:rPr>
            </w:pPr>
            <w:r>
              <w:rPr>
                <w:rFonts w:hint="eastAsia" w:ascii="宋体" w:hAnsi="宋体" w:eastAsia="宋体" w:cs="Times New Roman"/>
                <w:color w:val="000000"/>
                <w:szCs w:val="21"/>
                <w:shd w:val="clear" w:color="auto" w:fill="FFFFFF"/>
              </w:rPr>
              <w:t>6、因检测质量问题引发重大及以上工程质量安全事故，或引发危害性严重、社会影响大的较大工程质量安全事故，受到行政处罚的；</w:t>
            </w:r>
          </w:p>
        </w:tc>
        <w:tc>
          <w:tcPr>
            <w:tcW w:w="1522" w:type="dxa"/>
            <w:vAlign w:val="center"/>
          </w:tcPr>
          <w:p>
            <w:pPr>
              <w:jc w:val="center"/>
              <w:rPr>
                <w:rFonts w:ascii="宋体" w:hAnsi="Calibri" w:eastAsia="宋体" w:cs="宋体"/>
                <w:b/>
                <w:bCs/>
                <w:color w:val="000000"/>
                <w:kern w:val="0"/>
                <w:szCs w:val="21"/>
              </w:rPr>
            </w:pPr>
          </w:p>
        </w:tc>
        <w:tc>
          <w:tcPr>
            <w:tcW w:w="749" w:type="dxa"/>
            <w:vAlign w:val="center"/>
          </w:tcPr>
          <w:p>
            <w:pPr>
              <w:jc w:val="center"/>
              <w:rPr>
                <w:rFonts w:ascii="宋体" w:hAnsi="Calibri" w:eastAsia="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34" w:type="dxa"/>
            <w:vMerge w:val="continue"/>
            <w:vAlign w:val="center"/>
          </w:tcPr>
          <w:p>
            <w:pPr>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
                <w:bCs/>
                <w:color w:val="000000"/>
                <w:kern w:val="0"/>
                <w:szCs w:val="21"/>
              </w:rPr>
            </w:pPr>
          </w:p>
        </w:tc>
        <w:tc>
          <w:tcPr>
            <w:tcW w:w="1195" w:type="dxa"/>
            <w:vMerge w:val="continue"/>
            <w:vAlign w:val="center"/>
          </w:tcPr>
          <w:p>
            <w:pPr>
              <w:widowControl/>
              <w:rPr>
                <w:rFonts w:ascii="Times New Roman" w:hAnsi="Times New Roman" w:eastAsia="宋体" w:cs="Times New Roman"/>
                <w:b/>
                <w:bCs/>
                <w:color w:val="000000"/>
                <w:kern w:val="0"/>
                <w:szCs w:val="21"/>
              </w:rPr>
            </w:pPr>
          </w:p>
        </w:tc>
        <w:tc>
          <w:tcPr>
            <w:tcW w:w="5528" w:type="dxa"/>
            <w:vAlign w:val="center"/>
          </w:tcPr>
          <w:p>
            <w:pPr>
              <w:widowControl/>
              <w:rPr>
                <w:rFonts w:ascii="宋体" w:hAnsi="宋体" w:eastAsia="宋体" w:cs="Times New Roman"/>
                <w:color w:val="000000"/>
                <w:szCs w:val="21"/>
                <w:shd w:val="clear" w:color="auto" w:fill="FFFFFF"/>
              </w:rPr>
            </w:pPr>
            <w:r>
              <w:rPr>
                <w:rFonts w:hint="eastAsia" w:ascii="宋体" w:hAnsi="宋体" w:eastAsia="宋体" w:cs="Times New Roman"/>
                <w:color w:val="000000"/>
                <w:szCs w:val="21"/>
                <w:shd w:val="clear" w:color="auto" w:fill="FFFFFF"/>
              </w:rPr>
              <w:t>7、拒不配合建设行政主管部门组织的监督检查，在接受监督检查工作中不能如实提供机构、人员资料，或提供的资料弄虚作假的；</w:t>
            </w:r>
          </w:p>
        </w:tc>
        <w:tc>
          <w:tcPr>
            <w:tcW w:w="1522" w:type="dxa"/>
            <w:vAlign w:val="center"/>
          </w:tcPr>
          <w:p>
            <w:pPr>
              <w:jc w:val="center"/>
              <w:rPr>
                <w:rFonts w:ascii="宋体" w:hAnsi="Calibri" w:eastAsia="宋体" w:cs="宋体"/>
                <w:b/>
                <w:bCs/>
                <w:color w:val="000000"/>
                <w:kern w:val="0"/>
                <w:szCs w:val="21"/>
              </w:rPr>
            </w:pPr>
          </w:p>
        </w:tc>
        <w:tc>
          <w:tcPr>
            <w:tcW w:w="749" w:type="dxa"/>
            <w:vAlign w:val="center"/>
          </w:tcPr>
          <w:p>
            <w:pPr>
              <w:jc w:val="center"/>
              <w:rPr>
                <w:rFonts w:ascii="宋体" w:hAnsi="Calibri" w:eastAsia="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34" w:type="dxa"/>
            <w:vMerge w:val="continue"/>
            <w:vAlign w:val="center"/>
          </w:tcPr>
          <w:p>
            <w:pPr>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
                <w:bCs/>
                <w:color w:val="000000"/>
                <w:kern w:val="0"/>
                <w:szCs w:val="21"/>
              </w:rPr>
            </w:pPr>
          </w:p>
        </w:tc>
        <w:tc>
          <w:tcPr>
            <w:tcW w:w="1195" w:type="dxa"/>
            <w:vMerge w:val="continue"/>
            <w:vAlign w:val="center"/>
          </w:tcPr>
          <w:p>
            <w:pPr>
              <w:widowControl/>
              <w:rPr>
                <w:rFonts w:ascii="Times New Roman" w:hAnsi="Times New Roman" w:eastAsia="宋体" w:cs="Times New Roman"/>
                <w:b/>
                <w:bCs/>
                <w:color w:val="000000"/>
                <w:kern w:val="0"/>
                <w:szCs w:val="21"/>
              </w:rPr>
            </w:pPr>
          </w:p>
        </w:tc>
        <w:tc>
          <w:tcPr>
            <w:tcW w:w="5528" w:type="dxa"/>
            <w:vAlign w:val="center"/>
          </w:tcPr>
          <w:p>
            <w:pPr>
              <w:widowControl/>
              <w:rPr>
                <w:rFonts w:ascii="宋体" w:hAnsi="宋体" w:eastAsia="宋体" w:cs="Times New Roman"/>
                <w:color w:val="000000"/>
                <w:szCs w:val="21"/>
                <w:shd w:val="clear" w:color="auto" w:fill="FFFFFF"/>
              </w:rPr>
            </w:pPr>
            <w:r>
              <w:rPr>
                <w:rFonts w:hint="eastAsia" w:ascii="宋体" w:hAnsi="宋体" w:eastAsia="宋体" w:cs="Times New Roman"/>
                <w:color w:val="000000"/>
                <w:szCs w:val="21"/>
                <w:shd w:val="clear" w:color="auto" w:fill="FFFFFF"/>
              </w:rPr>
              <w:t>8、检测机构法定代表人、实际控制人被法院、公安、工商、税务、银行等部门列入黑名单或有其他严重不良信用记录。</w:t>
            </w:r>
          </w:p>
        </w:tc>
        <w:tc>
          <w:tcPr>
            <w:tcW w:w="1522" w:type="dxa"/>
            <w:vAlign w:val="center"/>
          </w:tcPr>
          <w:p>
            <w:pPr>
              <w:jc w:val="center"/>
              <w:rPr>
                <w:rFonts w:ascii="宋体" w:hAnsi="Calibri" w:eastAsia="宋体" w:cs="宋体"/>
                <w:b/>
                <w:bCs/>
                <w:color w:val="000000"/>
                <w:kern w:val="0"/>
                <w:szCs w:val="21"/>
              </w:rPr>
            </w:pPr>
          </w:p>
        </w:tc>
        <w:tc>
          <w:tcPr>
            <w:tcW w:w="749" w:type="dxa"/>
            <w:vAlign w:val="center"/>
          </w:tcPr>
          <w:p>
            <w:pPr>
              <w:jc w:val="center"/>
              <w:rPr>
                <w:rFonts w:ascii="宋体" w:hAnsi="Calibri" w:eastAsia="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4" w:type="dxa"/>
            <w:vMerge w:val="restart"/>
            <w:vAlign w:val="center"/>
          </w:tcPr>
          <w:p>
            <w:pPr>
              <w:widowControl/>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特殊项</w:t>
            </w:r>
          </w:p>
        </w:tc>
        <w:tc>
          <w:tcPr>
            <w:tcW w:w="493" w:type="dxa"/>
            <w:vMerge w:val="restart"/>
            <w:vAlign w:val="center"/>
          </w:tcPr>
          <w:p>
            <w:pPr>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1</w:t>
            </w:r>
          </w:p>
        </w:tc>
        <w:tc>
          <w:tcPr>
            <w:tcW w:w="1195" w:type="dxa"/>
            <w:vMerge w:val="restart"/>
            <w:vAlign w:val="center"/>
          </w:tcPr>
          <w:p>
            <w:pPr>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建设检测行业管理</w:t>
            </w:r>
          </w:p>
        </w:tc>
        <w:tc>
          <w:tcPr>
            <w:tcW w:w="5528" w:type="dxa"/>
            <w:vAlign w:val="center"/>
          </w:tcPr>
          <w:p>
            <w:pPr>
              <w:rPr>
                <w:rFonts w:ascii="宋体" w:hAnsi="宋体" w:eastAsia="宋体" w:cs="Times New Roman"/>
                <w:szCs w:val="21"/>
              </w:rPr>
            </w:pPr>
            <w:r>
              <w:rPr>
                <w:rFonts w:hint="eastAsia" w:ascii="宋体" w:hAnsi="宋体" w:eastAsia="宋体" w:cs="Times New Roman"/>
                <w:szCs w:val="21"/>
                <w:shd w:val="clear" w:color="auto" w:fill="FFFFFF"/>
              </w:rPr>
              <w:t>1、检测机构资质标准条件动态核查不达标的；</w:t>
            </w:r>
          </w:p>
        </w:tc>
        <w:tc>
          <w:tcPr>
            <w:tcW w:w="1522" w:type="dxa"/>
            <w:vAlign w:val="center"/>
          </w:tcPr>
          <w:p>
            <w:pPr>
              <w:jc w:val="center"/>
              <w:rPr>
                <w:rFonts w:ascii="宋体" w:hAnsi="Calibri" w:eastAsia="宋体" w:cs="Times New Roman"/>
                <w:bCs/>
                <w:color w:val="000000"/>
                <w:sz w:val="18"/>
                <w:szCs w:val="18"/>
              </w:rPr>
            </w:pPr>
            <w:r>
              <w:rPr>
                <w:rFonts w:ascii="宋体" w:hAnsi="Calibri" w:eastAsia="宋体" w:cs="Times New Roman"/>
                <w:bCs/>
                <w:color w:val="000000"/>
                <w:sz w:val="18"/>
                <w:szCs w:val="18"/>
              </w:rPr>
              <w:t>在总分基础上直接扣</w:t>
            </w:r>
            <w:r>
              <w:rPr>
                <w:rFonts w:hint="eastAsia" w:ascii="宋体" w:hAnsi="Calibri" w:eastAsia="宋体" w:cs="Times New Roman"/>
                <w:bCs/>
                <w:color w:val="000000"/>
                <w:sz w:val="18"/>
                <w:szCs w:val="18"/>
              </w:rPr>
              <w:t>30分</w:t>
            </w:r>
          </w:p>
        </w:tc>
        <w:tc>
          <w:tcPr>
            <w:tcW w:w="749" w:type="dxa"/>
            <w:vAlign w:val="center"/>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34" w:type="dxa"/>
            <w:vMerge w:val="continue"/>
            <w:vAlign w:val="center"/>
          </w:tcPr>
          <w:p>
            <w:pPr>
              <w:widowControl/>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jc w:val="center"/>
              <w:rPr>
                <w:rFonts w:ascii="Times New Roman" w:hAnsi="Times New Roman" w:eastAsia="宋体" w:cs="Times New Roman"/>
                <w:bCs/>
                <w:color w:val="000000"/>
                <w:szCs w:val="21"/>
              </w:rPr>
            </w:pPr>
          </w:p>
        </w:tc>
        <w:tc>
          <w:tcPr>
            <w:tcW w:w="5528" w:type="dxa"/>
            <w:vAlign w:val="center"/>
          </w:tcPr>
          <w:p>
            <w:pPr>
              <w:rPr>
                <w:rFonts w:ascii="宋体" w:hAnsi="宋体" w:eastAsia="宋体" w:cs="Times New Roman"/>
                <w:szCs w:val="21"/>
              </w:rPr>
            </w:pPr>
            <w:r>
              <w:rPr>
                <w:rFonts w:hint="eastAsia" w:ascii="宋体" w:hAnsi="宋体" w:eastAsia="宋体" w:cs="Times New Roman"/>
                <w:szCs w:val="21"/>
              </w:rPr>
              <w:t xml:space="preserve">2、受到县级以上行业主管部门或其他有关部门通报批评或行政处罚的； </w:t>
            </w:r>
          </w:p>
        </w:tc>
        <w:tc>
          <w:tcPr>
            <w:tcW w:w="1522" w:type="dxa"/>
            <w:vAlign w:val="center"/>
          </w:tcPr>
          <w:p>
            <w:pPr>
              <w:jc w:val="center"/>
              <w:rPr>
                <w:rFonts w:ascii="宋体" w:hAnsi="Calibri" w:eastAsia="宋体" w:cs="Times New Roman"/>
                <w:bCs/>
                <w:color w:val="000000"/>
                <w:sz w:val="18"/>
                <w:szCs w:val="18"/>
              </w:rPr>
            </w:pPr>
            <w:r>
              <w:rPr>
                <w:rFonts w:ascii="宋体" w:hAnsi="Calibri" w:eastAsia="宋体" w:cs="Times New Roman"/>
                <w:bCs/>
                <w:color w:val="000000"/>
                <w:sz w:val="18"/>
                <w:szCs w:val="18"/>
              </w:rPr>
              <w:t>在总分基础上直接扣</w:t>
            </w:r>
            <w:r>
              <w:rPr>
                <w:rFonts w:hint="eastAsia" w:ascii="宋体" w:hAnsi="Calibri" w:eastAsia="宋体" w:cs="Times New Roman"/>
                <w:bCs/>
                <w:color w:val="000000"/>
                <w:sz w:val="18"/>
                <w:szCs w:val="18"/>
              </w:rPr>
              <w:t>30分</w:t>
            </w:r>
          </w:p>
        </w:tc>
        <w:tc>
          <w:tcPr>
            <w:tcW w:w="749" w:type="dxa"/>
            <w:vAlign w:val="center"/>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34" w:type="dxa"/>
            <w:vMerge w:val="continue"/>
            <w:vAlign w:val="center"/>
          </w:tcPr>
          <w:p>
            <w:pPr>
              <w:widowControl/>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jc w:val="center"/>
              <w:rPr>
                <w:rFonts w:ascii="Times New Roman" w:hAnsi="Times New Roman" w:eastAsia="宋体" w:cs="Times New Roman"/>
                <w:bCs/>
                <w:color w:val="000000"/>
                <w:szCs w:val="21"/>
              </w:rPr>
            </w:pPr>
          </w:p>
        </w:tc>
        <w:tc>
          <w:tcPr>
            <w:tcW w:w="5528" w:type="dxa"/>
            <w:vAlign w:val="center"/>
          </w:tcPr>
          <w:p>
            <w:pPr>
              <w:rPr>
                <w:rFonts w:ascii="宋体" w:hAnsi="宋体" w:eastAsia="宋体" w:cs="Times New Roman"/>
                <w:bCs/>
                <w:color w:val="000000"/>
                <w:kern w:val="0"/>
                <w:szCs w:val="21"/>
              </w:rPr>
            </w:pPr>
            <w:r>
              <w:rPr>
                <w:rFonts w:hint="eastAsia" w:ascii="宋体" w:hAnsi="宋体" w:eastAsia="宋体" w:cs="Times New Roman"/>
                <w:bCs/>
                <w:color w:val="000000"/>
                <w:kern w:val="0"/>
                <w:szCs w:val="21"/>
              </w:rPr>
              <w:t>3、</w:t>
            </w:r>
            <w:r>
              <w:rPr>
                <w:rFonts w:hint="eastAsia" w:ascii="宋体" w:hAnsi="宋体" w:eastAsia="宋体" w:cs="Times New Roman"/>
                <w:color w:val="000000"/>
                <w:szCs w:val="21"/>
              </w:rPr>
              <w:t>对涉及结构安全检测结果的不合格情况，未及时向住房城乡建设主管部门报告的；</w:t>
            </w:r>
          </w:p>
        </w:tc>
        <w:tc>
          <w:tcPr>
            <w:tcW w:w="1522" w:type="dxa"/>
            <w:vAlign w:val="center"/>
          </w:tcPr>
          <w:p>
            <w:pPr>
              <w:jc w:val="center"/>
              <w:rPr>
                <w:rFonts w:ascii="宋体" w:hAnsi="Calibri" w:eastAsia="宋体" w:cs="Times New Roman"/>
                <w:bCs/>
                <w:color w:val="000000"/>
                <w:sz w:val="18"/>
                <w:szCs w:val="18"/>
              </w:rPr>
            </w:pPr>
            <w:r>
              <w:rPr>
                <w:rFonts w:ascii="宋体" w:hAnsi="Calibri" w:eastAsia="宋体" w:cs="Times New Roman"/>
                <w:bCs/>
                <w:color w:val="000000"/>
                <w:sz w:val="18"/>
                <w:szCs w:val="18"/>
              </w:rPr>
              <w:t>在总分基础上直接扣</w:t>
            </w:r>
            <w:r>
              <w:rPr>
                <w:rFonts w:hint="eastAsia" w:ascii="宋体" w:hAnsi="Calibri" w:eastAsia="宋体" w:cs="Times New Roman"/>
                <w:bCs/>
                <w:color w:val="000000"/>
                <w:sz w:val="18"/>
                <w:szCs w:val="18"/>
              </w:rPr>
              <w:t>30分</w:t>
            </w:r>
          </w:p>
        </w:tc>
        <w:tc>
          <w:tcPr>
            <w:tcW w:w="749" w:type="dxa"/>
            <w:vAlign w:val="center"/>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34" w:type="dxa"/>
            <w:vMerge w:val="continue"/>
            <w:vAlign w:val="center"/>
          </w:tcPr>
          <w:p>
            <w:pPr>
              <w:widowControl/>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jc w:val="center"/>
              <w:rPr>
                <w:rFonts w:ascii="Times New Roman" w:hAnsi="Times New Roman" w:eastAsia="宋体" w:cs="Times New Roman"/>
                <w:bCs/>
                <w:color w:val="000000"/>
                <w:szCs w:val="21"/>
              </w:rPr>
            </w:pPr>
          </w:p>
        </w:tc>
        <w:tc>
          <w:tcPr>
            <w:tcW w:w="5528" w:type="dxa"/>
            <w:vAlign w:val="center"/>
          </w:tcPr>
          <w:p>
            <w:pPr>
              <w:rPr>
                <w:rFonts w:ascii="宋体" w:hAnsi="宋体" w:eastAsia="宋体" w:cs="Times New Roman"/>
                <w:bCs/>
                <w:color w:val="000000"/>
                <w:kern w:val="0"/>
                <w:szCs w:val="21"/>
              </w:rPr>
            </w:pPr>
            <w:r>
              <w:rPr>
                <w:rFonts w:hint="eastAsia" w:ascii="宋体" w:hAnsi="宋体" w:eastAsia="宋体" w:cs="Times New Roman"/>
                <w:color w:val="000000"/>
                <w:szCs w:val="21"/>
              </w:rPr>
              <w:t>4、检测机构未按规定签订检测业务合同，未将检测业务委托合同报住房城乡建设主管部门备案的；</w:t>
            </w:r>
          </w:p>
        </w:tc>
        <w:tc>
          <w:tcPr>
            <w:tcW w:w="1522" w:type="dxa"/>
            <w:vAlign w:val="center"/>
          </w:tcPr>
          <w:p>
            <w:pPr>
              <w:jc w:val="center"/>
              <w:rPr>
                <w:rFonts w:ascii="宋体" w:hAnsi="Calibri" w:eastAsia="宋体" w:cs="Times New Roman"/>
                <w:bCs/>
                <w:color w:val="000000"/>
                <w:sz w:val="44"/>
                <w:szCs w:val="44"/>
              </w:rPr>
            </w:pPr>
            <w:r>
              <w:rPr>
                <w:rFonts w:ascii="宋体" w:hAnsi="Calibri" w:eastAsia="宋体" w:cs="Times New Roman"/>
                <w:bCs/>
                <w:color w:val="000000"/>
                <w:sz w:val="18"/>
                <w:szCs w:val="18"/>
              </w:rPr>
              <w:t>在总分基础上直接扣</w:t>
            </w:r>
            <w:r>
              <w:rPr>
                <w:rFonts w:hint="eastAsia" w:ascii="宋体" w:hAnsi="Calibri" w:eastAsia="宋体" w:cs="Times New Roman"/>
                <w:bCs/>
                <w:color w:val="000000"/>
                <w:sz w:val="18"/>
                <w:szCs w:val="18"/>
              </w:rPr>
              <w:t>30分</w:t>
            </w:r>
          </w:p>
        </w:tc>
        <w:tc>
          <w:tcPr>
            <w:tcW w:w="749" w:type="dxa"/>
            <w:vAlign w:val="center"/>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4" w:type="dxa"/>
            <w:vMerge w:val="continue"/>
            <w:vAlign w:val="center"/>
          </w:tcPr>
          <w:p>
            <w:pPr>
              <w:widowControl/>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jc w:val="center"/>
              <w:rPr>
                <w:rFonts w:ascii="Times New Roman" w:hAnsi="Times New Roman" w:eastAsia="宋体" w:cs="Times New Roman"/>
                <w:bCs/>
                <w:color w:val="000000"/>
                <w:szCs w:val="21"/>
              </w:rPr>
            </w:pPr>
          </w:p>
        </w:tc>
        <w:tc>
          <w:tcPr>
            <w:tcW w:w="5528" w:type="dxa"/>
            <w:vAlign w:val="center"/>
          </w:tcPr>
          <w:p>
            <w:pPr>
              <w:rPr>
                <w:rFonts w:ascii="宋体" w:hAnsi="宋体" w:eastAsia="宋体" w:cs="Times New Roman"/>
                <w:color w:val="000000"/>
                <w:szCs w:val="21"/>
              </w:rPr>
            </w:pPr>
            <w:r>
              <w:rPr>
                <w:rFonts w:hint="eastAsia" w:ascii="宋体" w:hAnsi="宋体" w:eastAsia="宋体" w:cs="Times New Roman"/>
                <w:color w:val="000000"/>
                <w:szCs w:val="21"/>
              </w:rPr>
              <w:t>5、经查存在降低标准、压价等不正当行为，扰乱检测市场秩序的；</w:t>
            </w:r>
          </w:p>
        </w:tc>
        <w:tc>
          <w:tcPr>
            <w:tcW w:w="1522" w:type="dxa"/>
            <w:vAlign w:val="center"/>
          </w:tcPr>
          <w:p>
            <w:pPr>
              <w:jc w:val="center"/>
              <w:rPr>
                <w:rFonts w:ascii="宋体" w:hAnsi="Calibri" w:eastAsia="宋体" w:cs="Times New Roman"/>
                <w:bCs/>
                <w:color w:val="000000"/>
                <w:szCs w:val="21"/>
              </w:rPr>
            </w:pPr>
            <w:r>
              <w:rPr>
                <w:rFonts w:ascii="宋体" w:hAnsi="Calibri" w:eastAsia="宋体" w:cs="Times New Roman"/>
                <w:bCs/>
                <w:color w:val="000000"/>
                <w:sz w:val="18"/>
                <w:szCs w:val="18"/>
              </w:rPr>
              <w:t>在总分基础上直接扣</w:t>
            </w:r>
            <w:r>
              <w:rPr>
                <w:rFonts w:hint="eastAsia" w:ascii="宋体" w:hAnsi="Calibri" w:eastAsia="宋体" w:cs="Times New Roman"/>
                <w:bCs/>
                <w:color w:val="000000"/>
                <w:sz w:val="18"/>
                <w:szCs w:val="18"/>
              </w:rPr>
              <w:t>30分</w:t>
            </w:r>
          </w:p>
        </w:tc>
        <w:tc>
          <w:tcPr>
            <w:tcW w:w="749" w:type="dxa"/>
            <w:vAlign w:val="center"/>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34" w:type="dxa"/>
            <w:vMerge w:val="continue"/>
            <w:vAlign w:val="center"/>
          </w:tcPr>
          <w:p>
            <w:pPr>
              <w:widowControl/>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jc w:val="center"/>
              <w:rPr>
                <w:rFonts w:ascii="Times New Roman" w:hAnsi="Times New Roman" w:eastAsia="宋体" w:cs="Times New Roman"/>
                <w:bCs/>
                <w:color w:val="000000"/>
                <w:szCs w:val="21"/>
              </w:rPr>
            </w:pPr>
          </w:p>
        </w:tc>
        <w:tc>
          <w:tcPr>
            <w:tcW w:w="5528" w:type="dxa"/>
            <w:vAlign w:val="center"/>
          </w:tcPr>
          <w:p>
            <w:pPr>
              <w:rPr>
                <w:rFonts w:ascii="宋体" w:hAnsi="宋体" w:eastAsia="宋体" w:cs="Times New Roman"/>
                <w:szCs w:val="21"/>
              </w:rPr>
            </w:pPr>
            <w:r>
              <w:rPr>
                <w:rFonts w:hint="eastAsia" w:ascii="宋体" w:hAnsi="宋体" w:eastAsia="宋体" w:cs="Times New Roman"/>
                <w:szCs w:val="21"/>
              </w:rPr>
              <w:t>6、检测机构拒不参加行业主管部门组织的能力验证，或第二次能力验证结果有问题和不满意的。</w:t>
            </w:r>
          </w:p>
        </w:tc>
        <w:tc>
          <w:tcPr>
            <w:tcW w:w="1522" w:type="dxa"/>
            <w:vAlign w:val="center"/>
          </w:tcPr>
          <w:p>
            <w:pPr>
              <w:jc w:val="center"/>
              <w:rPr>
                <w:rFonts w:ascii="Times New Roman" w:hAnsi="Times New Roman" w:eastAsia="宋体" w:cs="Times New Roman"/>
              </w:rPr>
            </w:pPr>
            <w:r>
              <w:rPr>
                <w:rFonts w:ascii="宋体" w:hAnsi="Calibri" w:eastAsia="宋体" w:cs="Times New Roman"/>
                <w:bCs/>
                <w:sz w:val="18"/>
                <w:szCs w:val="18"/>
              </w:rPr>
              <w:t>在总分基础上直接扣</w:t>
            </w:r>
            <w:r>
              <w:rPr>
                <w:rFonts w:hint="eastAsia" w:ascii="宋体" w:hAnsi="Calibri" w:eastAsia="宋体" w:cs="Times New Roman"/>
                <w:bCs/>
                <w:sz w:val="18"/>
                <w:szCs w:val="18"/>
              </w:rPr>
              <w:t>30分</w:t>
            </w:r>
          </w:p>
        </w:tc>
        <w:tc>
          <w:tcPr>
            <w:tcW w:w="749" w:type="dxa"/>
            <w:vAlign w:val="center"/>
          </w:tcPr>
          <w:p>
            <w:pPr>
              <w:jc w:val="center"/>
              <w:rPr>
                <w:rFonts w:ascii="Times New Roman" w:hAnsi="Times New Roman" w:eastAsia="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34" w:type="dxa"/>
            <w:vMerge w:val="continue"/>
            <w:vAlign w:val="center"/>
          </w:tcPr>
          <w:p>
            <w:pPr>
              <w:widowControl/>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jc w:val="center"/>
              <w:rPr>
                <w:rFonts w:ascii="Times New Roman" w:hAnsi="Times New Roman" w:eastAsia="宋体" w:cs="Times New Roman"/>
                <w:bCs/>
                <w:color w:val="000000"/>
                <w:szCs w:val="21"/>
              </w:rPr>
            </w:pPr>
          </w:p>
        </w:tc>
        <w:tc>
          <w:tcPr>
            <w:tcW w:w="5528" w:type="dxa"/>
            <w:vAlign w:val="center"/>
          </w:tcPr>
          <w:p>
            <w:pPr>
              <w:rPr>
                <w:rFonts w:ascii="宋体" w:hAnsi="宋体" w:eastAsia="宋体" w:cs="Times New Roman"/>
                <w:szCs w:val="21"/>
              </w:rPr>
            </w:pPr>
            <w:r>
              <w:rPr>
                <w:rFonts w:hint="eastAsia" w:ascii="宋体" w:hAnsi="宋体" w:eastAsia="宋体" w:cs="Times New Roman"/>
                <w:szCs w:val="21"/>
              </w:rPr>
              <w:t>7、检测机构未按有关标准规定留置已检样品的。</w:t>
            </w:r>
          </w:p>
        </w:tc>
        <w:tc>
          <w:tcPr>
            <w:tcW w:w="1522" w:type="dxa"/>
            <w:vAlign w:val="center"/>
          </w:tcPr>
          <w:p>
            <w:pPr>
              <w:jc w:val="center"/>
              <w:rPr>
                <w:rFonts w:ascii="宋体" w:hAnsi="Calibri" w:eastAsia="宋体" w:cs="Times New Roman"/>
                <w:bCs/>
                <w:sz w:val="18"/>
                <w:szCs w:val="18"/>
              </w:rPr>
            </w:pPr>
            <w:r>
              <w:rPr>
                <w:rFonts w:ascii="宋体" w:hAnsi="Calibri" w:eastAsia="宋体" w:cs="Times New Roman"/>
                <w:bCs/>
                <w:sz w:val="18"/>
                <w:szCs w:val="18"/>
              </w:rPr>
              <w:t>在总分基础上直接扣</w:t>
            </w:r>
            <w:r>
              <w:rPr>
                <w:rFonts w:hint="eastAsia" w:ascii="宋体" w:hAnsi="Calibri" w:eastAsia="宋体" w:cs="Times New Roman"/>
                <w:bCs/>
                <w:sz w:val="18"/>
                <w:szCs w:val="18"/>
              </w:rPr>
              <w:t>30分</w:t>
            </w:r>
          </w:p>
        </w:tc>
        <w:tc>
          <w:tcPr>
            <w:tcW w:w="749" w:type="dxa"/>
            <w:vAlign w:val="center"/>
          </w:tcPr>
          <w:p>
            <w:pPr>
              <w:jc w:val="center"/>
              <w:rPr>
                <w:rFonts w:ascii="Times New Roman" w:hAnsi="Times New Roman" w:eastAsia="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434" w:type="dxa"/>
            <w:vMerge w:val="restart"/>
            <w:vAlign w:val="center"/>
          </w:tcPr>
          <w:p>
            <w:pPr>
              <w:widowControl/>
              <w:rPr>
                <w:rFonts w:ascii="Times New Roman" w:hAnsi="Times New Roman" w:eastAsia="宋体" w:cs="Times New Roman"/>
                <w:b/>
                <w:bCs/>
                <w:color w:val="000000"/>
                <w:kern w:val="0"/>
                <w:szCs w:val="21"/>
              </w:rPr>
            </w:pPr>
          </w:p>
          <w:p>
            <w:pPr>
              <w:widowControl/>
              <w:jc w:val="center"/>
              <w:rPr>
                <w:rFonts w:ascii="Times New Roman" w:hAnsi="Times New Roman" w:eastAsia="宋体" w:cs="Times New Roman"/>
                <w:b/>
                <w:bCs/>
                <w:color w:val="000000"/>
                <w:kern w:val="0"/>
                <w:szCs w:val="21"/>
              </w:rPr>
            </w:pPr>
          </w:p>
          <w:p>
            <w:pPr>
              <w:widowControl/>
              <w:jc w:val="center"/>
              <w:rPr>
                <w:rFonts w:ascii="Times New Roman" w:hAnsi="Times New Roman" w:eastAsia="宋体" w:cs="Times New Roman"/>
                <w:b/>
                <w:bCs/>
                <w:color w:val="000000"/>
                <w:kern w:val="0"/>
                <w:szCs w:val="21"/>
              </w:rPr>
            </w:pPr>
          </w:p>
          <w:p>
            <w:pPr>
              <w:widowControl/>
              <w:jc w:val="center"/>
              <w:rPr>
                <w:rFonts w:ascii="Times New Roman" w:hAnsi="Times New Roman" w:eastAsia="宋体" w:cs="Times New Roman"/>
                <w:b/>
                <w:bCs/>
                <w:color w:val="000000"/>
                <w:kern w:val="0"/>
                <w:szCs w:val="21"/>
              </w:rPr>
            </w:pPr>
          </w:p>
          <w:p>
            <w:pPr>
              <w:widowControl/>
              <w:jc w:val="center"/>
              <w:rPr>
                <w:rFonts w:ascii="Times New Roman" w:hAnsi="Times New Roman" w:eastAsia="宋体" w:cs="Times New Roman"/>
                <w:b/>
                <w:bCs/>
                <w:color w:val="000000"/>
                <w:kern w:val="0"/>
                <w:szCs w:val="21"/>
              </w:rPr>
            </w:pPr>
          </w:p>
          <w:p>
            <w:pPr>
              <w:widowControl/>
              <w:jc w:val="center"/>
              <w:rPr>
                <w:rFonts w:ascii="Times New Roman" w:hAnsi="Times New Roman" w:eastAsia="宋体" w:cs="Times New Roman"/>
                <w:b/>
                <w:bCs/>
                <w:color w:val="000000"/>
                <w:kern w:val="0"/>
                <w:szCs w:val="21"/>
              </w:rPr>
            </w:pPr>
          </w:p>
          <w:p>
            <w:pPr>
              <w:widowControl/>
              <w:rPr>
                <w:rFonts w:ascii="Times New Roman" w:hAnsi="Times New Roman" w:eastAsia="宋体" w:cs="Times New Roman"/>
                <w:b/>
                <w:bCs/>
                <w:color w:val="000000"/>
                <w:kern w:val="0"/>
                <w:szCs w:val="21"/>
              </w:rPr>
            </w:pPr>
          </w:p>
          <w:p>
            <w:pPr>
              <w:widowControl/>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基</w:t>
            </w:r>
          </w:p>
          <w:p>
            <w:pPr>
              <w:widowControl/>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本</w:t>
            </w:r>
          </w:p>
          <w:p>
            <w:pP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项</w:t>
            </w:r>
          </w:p>
          <w:p>
            <w:pPr>
              <w:widowControl/>
              <w:jc w:val="center"/>
              <w:rPr>
                <w:rFonts w:ascii="Times New Roman" w:hAnsi="Times New Roman" w:eastAsia="宋体" w:cs="Times New Roman"/>
                <w:b/>
                <w:bCs/>
                <w:color w:val="000000"/>
                <w:kern w:val="0"/>
                <w:szCs w:val="21"/>
              </w:rPr>
            </w:pPr>
          </w:p>
          <w:p>
            <w:pPr>
              <w:widowControl/>
              <w:jc w:val="center"/>
              <w:rPr>
                <w:rFonts w:ascii="Times New Roman" w:hAnsi="Times New Roman" w:eastAsia="宋体" w:cs="Times New Roman"/>
                <w:b/>
                <w:bCs/>
                <w:color w:val="000000"/>
                <w:kern w:val="0"/>
                <w:szCs w:val="21"/>
              </w:rPr>
            </w:pPr>
          </w:p>
          <w:p>
            <w:pPr>
              <w:widowControl/>
              <w:jc w:val="center"/>
              <w:rPr>
                <w:rFonts w:ascii="Times New Roman" w:hAnsi="Times New Roman" w:eastAsia="宋体" w:cs="Times New Roman"/>
                <w:b/>
                <w:bCs/>
                <w:color w:val="000000"/>
                <w:kern w:val="0"/>
                <w:szCs w:val="21"/>
              </w:rPr>
            </w:pPr>
          </w:p>
          <w:p>
            <w:pPr>
              <w:jc w:val="center"/>
              <w:rPr>
                <w:rFonts w:ascii="Times New Roman" w:hAnsi="Times New Roman" w:eastAsia="宋体" w:cs="Times New Roman"/>
                <w:bCs/>
                <w:color w:val="000000"/>
                <w:szCs w:val="21"/>
              </w:rPr>
            </w:pPr>
          </w:p>
          <w:p>
            <w:pPr>
              <w:jc w:val="center"/>
              <w:rPr>
                <w:rFonts w:ascii="Times New Roman" w:hAnsi="Times New Roman" w:eastAsia="宋体" w:cs="Times New Roman"/>
                <w:bCs/>
                <w:color w:val="000000"/>
                <w:szCs w:val="21"/>
              </w:rPr>
            </w:pPr>
          </w:p>
          <w:p>
            <w:pPr>
              <w:jc w:val="center"/>
              <w:rPr>
                <w:rFonts w:ascii="Times New Roman" w:hAnsi="Times New Roman" w:eastAsia="宋体" w:cs="Times New Roman"/>
                <w:bCs/>
                <w:color w:val="000000"/>
                <w:szCs w:val="21"/>
              </w:rPr>
            </w:pPr>
          </w:p>
          <w:p>
            <w:pPr>
              <w:jc w:val="center"/>
              <w:rPr>
                <w:rFonts w:ascii="Times New Roman" w:hAnsi="Times New Roman" w:eastAsia="宋体" w:cs="Times New Roman"/>
                <w:bCs/>
                <w:color w:val="000000"/>
                <w:szCs w:val="21"/>
              </w:rPr>
            </w:pPr>
          </w:p>
          <w:p>
            <w:pPr>
              <w:jc w:val="center"/>
              <w:rPr>
                <w:rFonts w:ascii="Times New Roman" w:hAnsi="Times New Roman" w:eastAsia="宋体" w:cs="Times New Roman"/>
                <w:bCs/>
                <w:color w:val="000000"/>
                <w:szCs w:val="21"/>
              </w:rPr>
            </w:pPr>
          </w:p>
          <w:p>
            <w:pPr>
              <w:widowControl/>
              <w:jc w:val="center"/>
              <w:rPr>
                <w:rFonts w:ascii="Times New Roman" w:hAnsi="Times New Roman" w:eastAsia="宋体" w:cs="Times New Roman"/>
                <w:b/>
                <w:bCs/>
                <w:color w:val="000000"/>
                <w:kern w:val="0"/>
                <w:szCs w:val="21"/>
              </w:rPr>
            </w:pPr>
          </w:p>
          <w:p>
            <w:pPr>
              <w:widowControl/>
              <w:jc w:val="center"/>
              <w:rPr>
                <w:rFonts w:ascii="Times New Roman" w:hAnsi="Times New Roman" w:eastAsia="宋体" w:cs="Times New Roman"/>
                <w:b/>
                <w:bCs/>
                <w:color w:val="000000"/>
                <w:kern w:val="0"/>
                <w:szCs w:val="21"/>
              </w:rPr>
            </w:pPr>
          </w:p>
          <w:p>
            <w:pPr>
              <w:widowControl/>
              <w:jc w:val="center"/>
              <w:rPr>
                <w:rFonts w:ascii="Times New Roman" w:hAnsi="Times New Roman" w:eastAsia="宋体" w:cs="Times New Roman"/>
                <w:b/>
                <w:bCs/>
                <w:color w:val="000000"/>
                <w:kern w:val="0"/>
                <w:szCs w:val="21"/>
              </w:rPr>
            </w:pPr>
          </w:p>
          <w:p>
            <w:pPr>
              <w:jc w:val="center"/>
              <w:rPr>
                <w:rFonts w:ascii="Times New Roman" w:hAnsi="Times New Roman" w:eastAsia="宋体" w:cs="Times New Roman"/>
                <w:b/>
                <w:bCs/>
                <w:color w:val="000000"/>
                <w:kern w:val="0"/>
                <w:szCs w:val="21"/>
              </w:rPr>
            </w:pPr>
          </w:p>
        </w:tc>
        <w:tc>
          <w:tcPr>
            <w:tcW w:w="493" w:type="dxa"/>
            <w:vMerge w:val="restart"/>
            <w:vAlign w:val="center"/>
          </w:tcPr>
          <w:p>
            <w:pPr>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1</w:t>
            </w:r>
          </w:p>
        </w:tc>
        <w:tc>
          <w:tcPr>
            <w:tcW w:w="1195" w:type="dxa"/>
            <w:vMerge w:val="restart"/>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资质管理</w:t>
            </w:r>
          </w:p>
          <w:p>
            <w:pPr>
              <w:jc w:val="center"/>
              <w:rPr>
                <w:rFonts w:ascii="宋体" w:hAnsi="宋体" w:eastAsia="宋体" w:cs="Times New Roman"/>
                <w:bCs/>
                <w:color w:val="000000"/>
                <w:szCs w:val="21"/>
              </w:rPr>
            </w:pPr>
            <w:r>
              <w:rPr>
                <w:rFonts w:hint="eastAsia" w:ascii="宋体" w:hAnsi="宋体" w:eastAsia="宋体" w:cs="Times New Roman"/>
                <w:bCs/>
                <w:color w:val="000000"/>
                <w:szCs w:val="21"/>
              </w:rPr>
              <w:t>（6分）</w:t>
            </w:r>
          </w:p>
        </w:tc>
        <w:tc>
          <w:tcPr>
            <w:tcW w:w="5528" w:type="dxa"/>
            <w:vAlign w:val="center"/>
          </w:tcPr>
          <w:p>
            <w:pPr>
              <w:rPr>
                <w:rFonts w:ascii="宋体" w:hAnsi="宋体" w:eastAsia="宋体" w:cs="Times New Roman"/>
                <w:color w:val="000000"/>
                <w:szCs w:val="21"/>
              </w:rPr>
            </w:pPr>
            <w:r>
              <w:rPr>
                <w:rFonts w:hint="eastAsia" w:ascii="宋体" w:hAnsi="宋体" w:eastAsia="宋体" w:cs="Times New Roman"/>
                <w:color w:val="000000"/>
                <w:szCs w:val="21"/>
              </w:rPr>
              <w:t>1、检测机构名称、地址、资质证书范围是否与营业执照一</w:t>
            </w:r>
          </w:p>
          <w:p>
            <w:pPr>
              <w:rPr>
                <w:rFonts w:ascii="宋体" w:hAnsi="宋体" w:eastAsia="宋体" w:cs="Times New Roman"/>
                <w:color w:val="FF0000"/>
                <w:szCs w:val="21"/>
              </w:rPr>
            </w:pPr>
            <w:r>
              <w:rPr>
                <w:rFonts w:hint="eastAsia" w:ascii="宋体" w:hAnsi="宋体" w:eastAsia="宋体" w:cs="Times New Roman"/>
                <w:color w:val="000000"/>
                <w:szCs w:val="21"/>
              </w:rPr>
              <w:t>致。（2分）</w:t>
            </w:r>
          </w:p>
        </w:tc>
        <w:tc>
          <w:tcPr>
            <w:tcW w:w="1522" w:type="dxa"/>
            <w:vAlign w:val="center"/>
          </w:tcPr>
          <w:p>
            <w:pPr>
              <w:jc w:val="center"/>
              <w:rPr>
                <w:rFonts w:ascii="Times New Roman" w:hAnsi="Times New Roman" w:eastAsia="宋体" w:cs="Times New Roman"/>
                <w:color w:val="000000"/>
              </w:rPr>
            </w:pPr>
            <w:r>
              <w:rPr>
                <w:rFonts w:hint="eastAsia" w:ascii="Times New Roman" w:hAnsi="Times New Roman" w:eastAsia="宋体" w:cs="Times New Roman"/>
                <w:color w:val="000000"/>
              </w:rPr>
              <w:t>检查一项不完善扣</w:t>
            </w:r>
            <w:r>
              <w:rPr>
                <w:rFonts w:ascii="Times New Roman" w:hAnsi="Times New Roman" w:eastAsia="宋体" w:cs="Times New Roman"/>
                <w:color w:val="000000"/>
              </w:rPr>
              <w:t>2</w:t>
            </w:r>
            <w:r>
              <w:rPr>
                <w:rFonts w:hint="eastAsia" w:ascii="Times New Roman" w:hAnsi="Times New Roman" w:eastAsia="宋体" w:cs="Times New Roman"/>
                <w:color w:val="000000"/>
              </w:rPr>
              <w:t>分。</w:t>
            </w:r>
          </w:p>
        </w:tc>
        <w:tc>
          <w:tcPr>
            <w:tcW w:w="749" w:type="dxa"/>
            <w:vAlign w:val="center"/>
          </w:tcPr>
          <w:p>
            <w:pPr>
              <w:jc w:val="center"/>
              <w:rPr>
                <w:rFonts w:ascii="Times New Roman" w:hAnsi="Times New Roman" w:eastAsia="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34" w:type="dxa"/>
            <w:vMerge w:val="continue"/>
            <w:vAlign w:val="center"/>
          </w:tcPr>
          <w:p>
            <w:pPr>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jc w:val="center"/>
              <w:rPr>
                <w:rFonts w:ascii="宋体" w:hAnsi="Calibri" w:eastAsia="宋体" w:cs="Times New Roman"/>
                <w:bCs/>
                <w:color w:val="000000"/>
                <w:szCs w:val="21"/>
              </w:rPr>
            </w:pPr>
          </w:p>
        </w:tc>
        <w:tc>
          <w:tcPr>
            <w:tcW w:w="5528" w:type="dxa"/>
            <w:vAlign w:val="center"/>
          </w:tcPr>
          <w:p>
            <w:pPr>
              <w:rPr>
                <w:rFonts w:ascii="宋体" w:hAnsi="宋体" w:eastAsia="宋体" w:cs="Times New Roman"/>
                <w:color w:val="000000"/>
                <w:szCs w:val="21"/>
              </w:rPr>
            </w:pPr>
            <w:r>
              <w:rPr>
                <w:rFonts w:hint="eastAsia" w:ascii="宋体" w:hAnsi="宋体" w:eastAsia="宋体" w:cs="Times New Roman"/>
                <w:color w:val="000000"/>
                <w:szCs w:val="21"/>
              </w:rPr>
              <w:t>2、检测机构存在变更名称、地址、法定代表人、技术负责人情况的，是否及时到原审批机关办理变更手续。（4分）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w:t>
            </w:r>
            <w:r>
              <w:rPr>
                <w:rFonts w:ascii="宋体" w:hAnsi="宋体" w:eastAsia="宋体" w:cs="Times New Roman"/>
                <w:bCs/>
                <w:color w:val="000000"/>
                <w:szCs w:val="21"/>
              </w:rPr>
              <w:t>2</w:t>
            </w:r>
            <w:r>
              <w:rPr>
                <w:rFonts w:hint="eastAsia" w:ascii="宋体" w:hAnsi="宋体" w:eastAsia="宋体" w:cs="Times New Roman"/>
                <w:bCs/>
                <w:color w:val="000000"/>
                <w:szCs w:val="21"/>
              </w:rPr>
              <w:t>分。</w:t>
            </w:r>
          </w:p>
        </w:tc>
        <w:tc>
          <w:tcPr>
            <w:tcW w:w="749" w:type="dxa"/>
            <w:vAlign w:val="center"/>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34" w:type="dxa"/>
            <w:vMerge w:val="continue"/>
            <w:vAlign w:val="center"/>
          </w:tcPr>
          <w:p>
            <w:pPr>
              <w:jc w:val="center"/>
              <w:rPr>
                <w:rFonts w:ascii="Times New Roman" w:hAnsi="Times New Roman" w:eastAsia="宋体" w:cs="Times New Roman"/>
                <w:b/>
                <w:bCs/>
                <w:color w:val="000000"/>
                <w:kern w:val="0"/>
                <w:szCs w:val="21"/>
              </w:rPr>
            </w:pPr>
          </w:p>
        </w:tc>
        <w:tc>
          <w:tcPr>
            <w:tcW w:w="493" w:type="dxa"/>
            <w:vMerge w:val="restar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2</w:t>
            </w:r>
          </w:p>
        </w:tc>
        <w:tc>
          <w:tcPr>
            <w:tcW w:w="1195" w:type="dxa"/>
            <w:vMerge w:val="restart"/>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场所和</w:t>
            </w:r>
          </w:p>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环境</w:t>
            </w:r>
          </w:p>
          <w:p>
            <w:pPr>
              <w:widowControl/>
              <w:jc w:val="center"/>
              <w:rPr>
                <w:rFonts w:ascii="Times New Roman" w:hAnsi="Times New Roman" w:eastAsia="宋体" w:cs="Times New Roman"/>
                <w:bCs/>
                <w:color w:val="000000"/>
                <w:szCs w:val="21"/>
              </w:rPr>
            </w:pP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6分）</w:t>
            </w:r>
          </w:p>
        </w:tc>
        <w:tc>
          <w:tcPr>
            <w:tcW w:w="5528" w:type="dxa"/>
            <w:vAlign w:val="center"/>
          </w:tcPr>
          <w:p>
            <w:pPr>
              <w:rPr>
                <w:rFonts w:ascii="Times New Roman" w:hAnsi="Times New Roman" w:eastAsia="宋体" w:cs="Times New Roman"/>
                <w:color w:val="000000"/>
              </w:rPr>
            </w:pPr>
            <w:r>
              <w:rPr>
                <w:rFonts w:hint="eastAsia" w:ascii="Times New Roman" w:hAnsi="Times New Roman" w:eastAsia="宋体" w:cs="Times New Roman"/>
                <w:color w:val="000000"/>
              </w:rPr>
              <w:t>1、检测场所布局、环境条件满足检测要求，场所标识清晰。（12分）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w:t>
            </w:r>
            <w:r>
              <w:rPr>
                <w:rFonts w:ascii="宋体" w:hAnsi="宋体" w:eastAsia="宋体" w:cs="Times New Roman"/>
                <w:bCs/>
                <w:color w:val="000000"/>
                <w:szCs w:val="21"/>
              </w:rPr>
              <w:t>2</w:t>
            </w:r>
            <w:r>
              <w:rPr>
                <w:rFonts w:hint="eastAsia" w:ascii="宋体" w:hAnsi="宋体" w:eastAsia="宋体" w:cs="Times New Roman"/>
                <w:bCs/>
                <w:color w:val="000000"/>
                <w:szCs w:val="21"/>
              </w:rPr>
              <w:t>分，扣完为止。</w:t>
            </w:r>
          </w:p>
        </w:tc>
        <w:tc>
          <w:tcPr>
            <w:tcW w:w="749" w:type="dxa"/>
            <w:vAlign w:val="center"/>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34" w:type="dxa"/>
            <w:vMerge w:val="continue"/>
            <w:vAlign w:val="center"/>
          </w:tcPr>
          <w:p>
            <w:pPr>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jc w:val="center"/>
              <w:rPr>
                <w:rFonts w:ascii="Times New Roman" w:hAnsi="Times New Roman" w:eastAsia="宋体" w:cs="Times New Roman"/>
                <w:color w:val="000000"/>
                <w:kern w:val="0"/>
                <w:szCs w:val="21"/>
              </w:rPr>
            </w:pPr>
          </w:p>
        </w:tc>
        <w:tc>
          <w:tcPr>
            <w:tcW w:w="5528" w:type="dxa"/>
            <w:vAlign w:val="center"/>
          </w:tcPr>
          <w:p>
            <w:pPr>
              <w:rPr>
                <w:rFonts w:ascii="Times New Roman" w:hAnsi="Times New Roman" w:eastAsia="宋体" w:cs="Times New Roman"/>
                <w:color w:val="000000"/>
              </w:rPr>
            </w:pPr>
            <w:r>
              <w:rPr>
                <w:rFonts w:hint="eastAsia" w:ascii="Times New Roman" w:hAnsi="Times New Roman" w:eastAsia="宋体" w:cs="Times New Roman"/>
                <w:color w:val="000000"/>
              </w:rPr>
              <w:t>2、危险材料管理、现场检测安全措施满足要求，安全防火设施齐全。（4分）</w:t>
            </w:r>
          </w:p>
        </w:tc>
        <w:tc>
          <w:tcPr>
            <w:tcW w:w="1522" w:type="dxa"/>
            <w:vAlign w:val="center"/>
          </w:tcPr>
          <w:p>
            <w:pPr>
              <w:jc w:val="center"/>
              <w:rPr>
                <w:rFonts w:ascii="宋体" w:hAnsi="宋体" w:eastAsia="宋体" w:cs="Times New Roman"/>
                <w:bCs/>
                <w:color w:val="000000"/>
                <w:szCs w:val="21"/>
              </w:rPr>
            </w:pPr>
            <w:r>
              <w:rPr>
                <w:rFonts w:hint="eastAsia" w:ascii="宋体" w:hAnsi="宋体" w:eastAsia="宋体" w:cs="Times New Roman"/>
                <w:bCs/>
                <w:color w:val="000000"/>
                <w:szCs w:val="21"/>
              </w:rPr>
              <w:t>检查一项不完善扣</w:t>
            </w:r>
            <w:r>
              <w:rPr>
                <w:rFonts w:ascii="宋体" w:hAnsi="宋体" w:eastAsia="宋体" w:cs="Times New Roman"/>
                <w:bCs/>
                <w:color w:val="000000"/>
                <w:szCs w:val="21"/>
              </w:rPr>
              <w:t>2</w:t>
            </w:r>
            <w:r>
              <w:rPr>
                <w:rFonts w:hint="eastAsia" w:ascii="宋体" w:hAnsi="宋体" w:eastAsia="宋体" w:cs="Times New Roman"/>
                <w:bCs/>
                <w:color w:val="000000"/>
                <w:szCs w:val="21"/>
              </w:rPr>
              <w:t>分，扣完为止。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restart"/>
            <w:vAlign w:val="center"/>
          </w:tcPr>
          <w:p>
            <w:pPr>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3</w:t>
            </w:r>
          </w:p>
        </w:tc>
        <w:tc>
          <w:tcPr>
            <w:tcW w:w="1195" w:type="dxa"/>
            <w:vMerge w:val="restart"/>
            <w:vAlign w:val="center"/>
          </w:tcPr>
          <w:p>
            <w:pPr>
              <w:widowControl/>
              <w:jc w:val="center"/>
              <w:rPr>
                <w:rFonts w:ascii="Times New Roman" w:hAnsi="Times New Roman" w:eastAsia="宋体" w:cs="Times New Roman"/>
                <w:color w:val="000000"/>
              </w:rPr>
            </w:pPr>
            <w:r>
              <w:rPr>
                <w:rFonts w:hint="eastAsia" w:ascii="Times New Roman" w:hAnsi="Times New Roman" w:eastAsia="宋体" w:cs="Times New Roman"/>
                <w:color w:val="000000"/>
              </w:rPr>
              <w:t>人员</w:t>
            </w:r>
          </w:p>
          <w:p>
            <w:pPr>
              <w:widowControl/>
              <w:jc w:val="center"/>
              <w:rPr>
                <w:rFonts w:ascii="Times New Roman" w:hAnsi="Times New Roman" w:eastAsia="宋体" w:cs="Times New Roman"/>
                <w:bCs/>
                <w:color w:val="000000"/>
                <w:szCs w:val="21"/>
              </w:rPr>
            </w:pPr>
            <w:r>
              <w:rPr>
                <w:rFonts w:hint="eastAsia" w:ascii="Times New Roman" w:hAnsi="Times New Roman" w:eastAsia="宋体" w:cs="Times New Roman"/>
                <w:color w:val="000000"/>
              </w:rPr>
              <w:t>（</w:t>
            </w:r>
            <w:r>
              <w:rPr>
                <w:rFonts w:ascii="Times New Roman" w:hAnsi="Times New Roman" w:eastAsia="宋体" w:cs="Times New Roman"/>
                <w:color w:val="000000"/>
              </w:rPr>
              <w:t>1</w:t>
            </w:r>
            <w:r>
              <w:rPr>
                <w:rFonts w:hint="eastAsia" w:ascii="Times New Roman" w:hAnsi="Times New Roman" w:eastAsia="宋体" w:cs="Times New Roman"/>
                <w:color w:val="000000"/>
              </w:rPr>
              <w:t>6分）</w:t>
            </w:r>
          </w:p>
        </w:tc>
        <w:tc>
          <w:tcPr>
            <w:tcW w:w="5528" w:type="dxa"/>
            <w:vAlign w:val="center"/>
          </w:tcPr>
          <w:p>
            <w:pPr>
              <w:rPr>
                <w:rFonts w:ascii="Times New Roman" w:hAnsi="Times New Roman" w:eastAsia="宋体" w:cs="Times New Roman"/>
                <w:color w:val="000000"/>
              </w:rPr>
            </w:pPr>
            <w:r>
              <w:rPr>
                <w:rFonts w:ascii="Times New Roman" w:hAnsi="Times New Roman" w:eastAsia="宋体" w:cs="Times New Roman"/>
                <w:color w:val="000000"/>
              </w:rPr>
              <w:t>1</w:t>
            </w:r>
            <w:r>
              <w:rPr>
                <w:rFonts w:hint="eastAsia" w:ascii="Times New Roman" w:hAnsi="Times New Roman" w:eastAsia="宋体" w:cs="Times New Roman"/>
                <w:color w:val="000000"/>
              </w:rPr>
              <w:t>、是否存在检测人员同时受聘于两个或者两个以上的检测机构。（4分）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2分</w:t>
            </w:r>
            <w:r>
              <w:rPr>
                <w:rFonts w:ascii="宋体" w:hAnsi="宋体" w:eastAsia="宋体" w:cs="Times New Roman"/>
                <w:bCs/>
                <w:color w:val="000000"/>
                <w:szCs w:val="21"/>
              </w:rPr>
              <w:t>/</w:t>
            </w:r>
            <w:r>
              <w:rPr>
                <w:rFonts w:hint="eastAsia" w:ascii="宋体" w:hAnsi="宋体" w:eastAsia="宋体" w:cs="Times New Roman"/>
                <w:bCs/>
                <w:color w:val="000000"/>
                <w:szCs w:val="21"/>
              </w:rPr>
              <w:t>次，扣完为止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jc w:val="center"/>
              <w:rPr>
                <w:rFonts w:ascii="Times New Roman" w:hAnsi="Times New Roman" w:eastAsia="宋体" w:cs="Times New Roman"/>
                <w:color w:val="000000"/>
              </w:rPr>
            </w:pPr>
          </w:p>
        </w:tc>
        <w:tc>
          <w:tcPr>
            <w:tcW w:w="5528" w:type="dxa"/>
            <w:vAlign w:val="center"/>
          </w:tcPr>
          <w:p>
            <w:pPr>
              <w:rPr>
                <w:rFonts w:ascii="Times New Roman" w:hAnsi="Times New Roman" w:eastAsia="宋体" w:cs="Times New Roman"/>
                <w:color w:val="000000"/>
              </w:rPr>
            </w:pPr>
            <w:r>
              <w:rPr>
                <w:rFonts w:hint="eastAsia" w:ascii="Times New Roman" w:hAnsi="Times New Roman" w:eastAsia="宋体" w:cs="Times New Roman"/>
                <w:color w:val="000000"/>
              </w:rPr>
              <w:t>2、检测机构是否存在使用不符合要求人员的行为。</w:t>
            </w:r>
            <w:r>
              <w:rPr>
                <w:rFonts w:hint="eastAsia" w:ascii="Times New Roman" w:hAnsi="Times New Roman" w:eastAsia="宋体" w:cs="Times New Roman"/>
                <w:color w:val="000000"/>
                <w:szCs w:val="21"/>
              </w:rPr>
              <w:t>（4分）</w:t>
            </w:r>
          </w:p>
        </w:tc>
        <w:tc>
          <w:tcPr>
            <w:tcW w:w="1522" w:type="dxa"/>
            <w:vAlign w:val="center"/>
          </w:tcPr>
          <w:p>
            <w:pPr>
              <w:jc w:val="center"/>
              <w:rPr>
                <w:rFonts w:ascii="宋体" w:hAnsi="宋体" w:eastAsia="宋体" w:cs="Times New Roman"/>
                <w:bCs/>
                <w:color w:val="000000"/>
                <w:szCs w:val="21"/>
              </w:rPr>
            </w:pPr>
            <w:r>
              <w:rPr>
                <w:rFonts w:hint="eastAsia" w:ascii="宋体" w:hAnsi="宋体" w:eastAsia="宋体" w:cs="Times New Roman"/>
                <w:bCs/>
                <w:color w:val="000000"/>
                <w:szCs w:val="21"/>
              </w:rPr>
              <w:t>2分</w:t>
            </w:r>
            <w:r>
              <w:rPr>
                <w:rFonts w:ascii="宋体" w:hAnsi="宋体" w:eastAsia="宋体" w:cs="Times New Roman"/>
                <w:bCs/>
                <w:color w:val="000000"/>
                <w:szCs w:val="21"/>
              </w:rPr>
              <w:t>/</w:t>
            </w:r>
            <w:r>
              <w:rPr>
                <w:rFonts w:hint="eastAsia" w:ascii="宋体" w:hAnsi="宋体" w:eastAsia="宋体" w:cs="Times New Roman"/>
                <w:bCs/>
                <w:color w:val="000000"/>
                <w:szCs w:val="21"/>
              </w:rPr>
              <w:t>次，扣完为止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jc w:val="center"/>
              <w:rPr>
                <w:rFonts w:ascii="Times New Roman" w:hAnsi="Times New Roman" w:eastAsia="宋体" w:cs="Times New Roman"/>
                <w:color w:val="000000"/>
              </w:rPr>
            </w:pPr>
          </w:p>
        </w:tc>
        <w:tc>
          <w:tcPr>
            <w:tcW w:w="5528" w:type="dxa"/>
            <w:vAlign w:val="center"/>
          </w:tcPr>
          <w:p>
            <w:pPr>
              <w:rPr>
                <w:rFonts w:ascii="Times New Roman" w:hAnsi="Times New Roman" w:eastAsia="宋体" w:cs="Times New Roman"/>
              </w:rPr>
            </w:pPr>
            <w:r>
              <w:rPr>
                <w:rFonts w:hint="eastAsia" w:ascii="Times New Roman" w:hAnsi="Times New Roman" w:eastAsia="宋体" w:cs="Times New Roman"/>
              </w:rPr>
              <w:t>3、注册人员、技术负责人、质量负责人、授权签字人是否到岗履职</w:t>
            </w:r>
            <w:r>
              <w:rPr>
                <w:rFonts w:hint="eastAsia" w:ascii="Times New Roman" w:hAnsi="Times New Roman" w:eastAsia="宋体" w:cs="Times New Roman"/>
                <w:szCs w:val="21"/>
              </w:rPr>
              <w:t>（4分）</w:t>
            </w:r>
          </w:p>
        </w:tc>
        <w:tc>
          <w:tcPr>
            <w:tcW w:w="1522" w:type="dxa"/>
            <w:vAlign w:val="center"/>
          </w:tcPr>
          <w:p>
            <w:pPr>
              <w:jc w:val="center"/>
              <w:rPr>
                <w:rFonts w:ascii="宋体" w:hAnsi="宋体" w:eastAsia="宋体" w:cs="Times New Roman"/>
                <w:bCs/>
                <w:color w:val="000000"/>
                <w:szCs w:val="21"/>
              </w:rPr>
            </w:pPr>
            <w:r>
              <w:rPr>
                <w:rFonts w:hint="eastAsia" w:ascii="宋体" w:hAnsi="宋体" w:eastAsia="宋体" w:cs="Times New Roman"/>
                <w:bCs/>
                <w:color w:val="000000"/>
                <w:szCs w:val="21"/>
              </w:rPr>
              <w:t>2分</w:t>
            </w:r>
            <w:r>
              <w:rPr>
                <w:rFonts w:ascii="宋体" w:hAnsi="宋体" w:eastAsia="宋体" w:cs="Times New Roman"/>
                <w:bCs/>
                <w:color w:val="000000"/>
                <w:szCs w:val="21"/>
              </w:rPr>
              <w:t>/</w:t>
            </w:r>
            <w:r>
              <w:rPr>
                <w:rFonts w:hint="eastAsia" w:ascii="宋体" w:hAnsi="宋体" w:eastAsia="宋体" w:cs="Times New Roman"/>
                <w:bCs/>
                <w:color w:val="000000"/>
                <w:szCs w:val="21"/>
              </w:rPr>
              <w:t>次，扣完为止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jc w:val="center"/>
              <w:rPr>
                <w:rFonts w:ascii="Times New Roman" w:hAnsi="Times New Roman" w:eastAsia="宋体" w:cs="Times New Roman"/>
                <w:color w:val="000000"/>
              </w:rPr>
            </w:pPr>
          </w:p>
        </w:tc>
        <w:tc>
          <w:tcPr>
            <w:tcW w:w="5528" w:type="dxa"/>
            <w:vAlign w:val="center"/>
          </w:tcPr>
          <w:p>
            <w:pPr>
              <w:rPr>
                <w:rFonts w:ascii="Times New Roman" w:hAnsi="Times New Roman" w:eastAsia="宋体" w:cs="Times New Roman"/>
                <w:color w:val="000000"/>
              </w:rPr>
            </w:pPr>
            <w:r>
              <w:rPr>
                <w:rFonts w:hint="eastAsia" w:ascii="Times New Roman" w:hAnsi="Times New Roman" w:eastAsia="宋体" w:cs="Times New Roman"/>
                <w:color w:val="000000"/>
              </w:rPr>
              <w:t>4、检测机构是否每年针对所有技术和管理人员制定了相应的培训计划并执行。（4分）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w:t>
            </w:r>
            <w:r>
              <w:rPr>
                <w:rFonts w:ascii="宋体" w:hAnsi="宋体" w:eastAsia="宋体" w:cs="Times New Roman"/>
                <w:bCs/>
                <w:color w:val="000000"/>
                <w:szCs w:val="21"/>
              </w:rPr>
              <w:t>1</w:t>
            </w:r>
            <w:r>
              <w:rPr>
                <w:rFonts w:hint="eastAsia" w:ascii="宋体" w:hAnsi="宋体" w:eastAsia="宋体" w:cs="Times New Roman"/>
                <w:bCs/>
                <w:color w:val="000000"/>
                <w:szCs w:val="21"/>
              </w:rPr>
              <w:t>分，扣完为止。</w:t>
            </w:r>
          </w:p>
        </w:tc>
        <w:tc>
          <w:tcPr>
            <w:tcW w:w="749" w:type="dxa"/>
          </w:tcPr>
          <w:p>
            <w:pPr>
              <w:jc w:val="center"/>
              <w:rPr>
                <w:rFonts w:ascii="宋体" w:hAnsi="Calibri" w:eastAsia="宋体" w:cs="Times New Roman"/>
                <w:bCs/>
                <w:color w:val="000000"/>
                <w:szCs w:val="21"/>
              </w:rPr>
            </w:pPr>
          </w:p>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restart"/>
            <w:vAlign w:val="center"/>
          </w:tcPr>
          <w:p>
            <w:pPr>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4</w:t>
            </w:r>
          </w:p>
        </w:tc>
        <w:tc>
          <w:tcPr>
            <w:tcW w:w="1195" w:type="dxa"/>
            <w:vMerge w:val="restart"/>
            <w:vAlign w:val="center"/>
          </w:tcPr>
          <w:p>
            <w:pPr>
              <w:widowControl/>
              <w:jc w:val="center"/>
              <w:rPr>
                <w:rFonts w:ascii="Times New Roman" w:hAnsi="Times New Roman" w:eastAsia="宋体" w:cs="Times New Roman"/>
                <w:color w:val="000000"/>
              </w:rPr>
            </w:pPr>
            <w:r>
              <w:rPr>
                <w:rFonts w:hint="eastAsia" w:ascii="Times New Roman" w:hAnsi="Times New Roman" w:eastAsia="宋体" w:cs="Times New Roman"/>
                <w:color w:val="000000"/>
              </w:rPr>
              <w:t>检测设备和标准</w:t>
            </w:r>
          </w:p>
          <w:p>
            <w:pPr>
              <w:widowControl/>
              <w:jc w:val="center"/>
              <w:rPr>
                <w:rFonts w:ascii="Times New Roman" w:hAnsi="Times New Roman" w:eastAsia="宋体" w:cs="Times New Roman"/>
                <w:color w:val="000000"/>
              </w:rPr>
            </w:pPr>
            <w:r>
              <w:rPr>
                <w:rFonts w:hint="eastAsia" w:ascii="Times New Roman" w:hAnsi="Times New Roman" w:eastAsia="宋体" w:cs="Times New Roman"/>
                <w:color w:val="000000"/>
              </w:rPr>
              <w:t>物质</w:t>
            </w:r>
          </w:p>
          <w:p>
            <w:pPr>
              <w:widowControl/>
              <w:jc w:val="center"/>
              <w:rPr>
                <w:rFonts w:ascii="Times New Roman" w:hAnsi="Times New Roman" w:eastAsia="宋体" w:cs="Times New Roman"/>
                <w:bCs/>
                <w:color w:val="000000"/>
                <w:szCs w:val="21"/>
              </w:rPr>
            </w:pP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16</w:t>
            </w:r>
            <w:r>
              <w:rPr>
                <w:rFonts w:hint="eastAsia" w:ascii="Times New Roman" w:hAnsi="Times New Roman" w:eastAsia="宋体" w:cs="Times New Roman"/>
                <w:color w:val="000000"/>
                <w:kern w:val="0"/>
                <w:szCs w:val="21"/>
              </w:rPr>
              <w:t>分）</w:t>
            </w:r>
          </w:p>
        </w:tc>
        <w:tc>
          <w:tcPr>
            <w:tcW w:w="5528" w:type="dxa"/>
            <w:vAlign w:val="center"/>
          </w:tcPr>
          <w:p>
            <w:pPr>
              <w:rPr>
                <w:rFonts w:ascii="Times New Roman" w:hAnsi="Times New Roman" w:eastAsia="宋体" w:cs="Times New Roman"/>
                <w:color w:val="000000"/>
              </w:rPr>
            </w:pPr>
            <w:r>
              <w:rPr>
                <w:rFonts w:ascii="Times New Roman" w:hAnsi="Times New Roman" w:eastAsia="宋体" w:cs="Times New Roman"/>
                <w:color w:val="000000"/>
              </w:rPr>
              <w:t>1</w:t>
            </w:r>
            <w:r>
              <w:rPr>
                <w:rFonts w:hint="eastAsia" w:ascii="Times New Roman" w:hAnsi="Times New Roman" w:eastAsia="宋体" w:cs="Times New Roman"/>
                <w:color w:val="000000"/>
              </w:rPr>
              <w:t>、是否正确配备与检测能力相适应的检测仪器设备，仪器设备的性能和各项技术指标、精度是否符合标准、规范的要求。（6分）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检查一项不完善扣2分，扣完为止。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jc w:val="center"/>
              <w:rPr>
                <w:rFonts w:ascii="Times New Roman" w:hAnsi="Times New Roman" w:eastAsia="宋体" w:cs="Times New Roman"/>
                <w:color w:val="000000"/>
              </w:rPr>
            </w:pPr>
          </w:p>
        </w:tc>
        <w:tc>
          <w:tcPr>
            <w:tcW w:w="5528" w:type="dxa"/>
            <w:vAlign w:val="center"/>
          </w:tcPr>
          <w:p>
            <w:pPr>
              <w:rPr>
                <w:rFonts w:ascii="Times New Roman" w:hAnsi="Times New Roman" w:eastAsia="宋体" w:cs="Times New Roman"/>
                <w:color w:val="000000"/>
              </w:rPr>
            </w:pPr>
            <w:r>
              <w:rPr>
                <w:rFonts w:ascii="Times New Roman" w:hAnsi="Times New Roman" w:eastAsia="宋体" w:cs="Times New Roman"/>
                <w:color w:val="000000"/>
              </w:rPr>
              <w:t>2</w:t>
            </w:r>
            <w:r>
              <w:rPr>
                <w:rFonts w:hint="eastAsia" w:ascii="Times New Roman" w:hAnsi="Times New Roman" w:eastAsia="宋体" w:cs="Times New Roman"/>
                <w:color w:val="000000"/>
              </w:rPr>
              <w:t>、仪器设备安装、放置是否符合相关规范要求，是否处于正常工作和有效管理状态。（4分）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检查一项不完善扣2分，扣完为止。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jc w:val="center"/>
              <w:rPr>
                <w:rFonts w:ascii="Times New Roman" w:hAnsi="Times New Roman" w:eastAsia="宋体" w:cs="Times New Roman"/>
                <w:color w:val="000000"/>
              </w:rPr>
            </w:pPr>
          </w:p>
        </w:tc>
        <w:tc>
          <w:tcPr>
            <w:tcW w:w="5528" w:type="dxa"/>
            <w:vAlign w:val="center"/>
          </w:tcPr>
          <w:p>
            <w:pPr>
              <w:rPr>
                <w:rFonts w:ascii="Times New Roman" w:hAnsi="Times New Roman" w:eastAsia="宋体" w:cs="Times New Roman"/>
                <w:color w:val="000000"/>
              </w:rPr>
            </w:pPr>
            <w:r>
              <w:rPr>
                <w:rFonts w:ascii="Times New Roman" w:hAnsi="Times New Roman" w:eastAsia="宋体" w:cs="Times New Roman"/>
                <w:color w:val="000000"/>
              </w:rPr>
              <w:t>3</w:t>
            </w:r>
            <w:r>
              <w:rPr>
                <w:rFonts w:hint="eastAsia" w:ascii="Times New Roman" w:hAnsi="Times New Roman" w:eastAsia="宋体" w:cs="Times New Roman"/>
                <w:color w:val="000000"/>
              </w:rPr>
              <w:t>、仪器设备是否按照要求进行检定</w:t>
            </w:r>
            <w:r>
              <w:rPr>
                <w:rFonts w:ascii="Times New Roman" w:hAnsi="Times New Roman" w:eastAsia="宋体" w:cs="Times New Roman"/>
                <w:color w:val="000000"/>
              </w:rPr>
              <w:t>/</w:t>
            </w:r>
            <w:r>
              <w:rPr>
                <w:rFonts w:hint="eastAsia" w:ascii="Times New Roman" w:hAnsi="Times New Roman" w:eastAsia="宋体" w:cs="Times New Roman"/>
                <w:color w:val="000000"/>
              </w:rPr>
              <w:t>校准，并在有效期内有限期内。（4分）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检查一项不完善扣2分，扣完为止。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jc w:val="center"/>
              <w:rPr>
                <w:rFonts w:ascii="Times New Roman" w:hAnsi="Times New Roman" w:eastAsia="宋体" w:cs="Times New Roman"/>
                <w:color w:val="000000"/>
              </w:rPr>
            </w:pPr>
          </w:p>
        </w:tc>
        <w:tc>
          <w:tcPr>
            <w:tcW w:w="5528" w:type="dxa"/>
            <w:vAlign w:val="center"/>
          </w:tcPr>
          <w:p>
            <w:pPr>
              <w:rPr>
                <w:rFonts w:ascii="Times New Roman" w:hAnsi="Times New Roman" w:eastAsia="宋体" w:cs="Times New Roman"/>
                <w:color w:val="000000"/>
              </w:rPr>
            </w:pPr>
            <w:r>
              <w:rPr>
                <w:rFonts w:ascii="Times New Roman" w:hAnsi="Times New Roman" w:eastAsia="宋体" w:cs="Times New Roman"/>
                <w:color w:val="000000"/>
              </w:rPr>
              <w:t>4</w:t>
            </w:r>
            <w:r>
              <w:rPr>
                <w:rFonts w:hint="eastAsia" w:ascii="Times New Roman" w:hAnsi="Times New Roman" w:eastAsia="宋体" w:cs="Times New Roman"/>
                <w:color w:val="000000"/>
              </w:rPr>
              <w:t>、所有仪器设备（包括标准物质）是否有正确的标识（2分）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检查一项不完善扣2分，扣完为止。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34" w:type="dxa"/>
            <w:vMerge w:val="continue"/>
            <w:vAlign w:val="center"/>
          </w:tcPr>
          <w:p>
            <w:pPr>
              <w:widowControl/>
              <w:jc w:val="center"/>
              <w:rPr>
                <w:rFonts w:ascii="Times New Roman" w:hAnsi="Times New Roman" w:eastAsia="宋体" w:cs="Times New Roman"/>
                <w:bCs/>
                <w:color w:val="000000"/>
                <w:szCs w:val="21"/>
              </w:rPr>
            </w:pPr>
          </w:p>
        </w:tc>
        <w:tc>
          <w:tcPr>
            <w:tcW w:w="493" w:type="dxa"/>
            <w:vMerge w:val="restart"/>
            <w:vAlign w:val="center"/>
          </w:tcPr>
          <w:p>
            <w:pPr>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5</w:t>
            </w:r>
          </w:p>
        </w:tc>
        <w:tc>
          <w:tcPr>
            <w:tcW w:w="1195" w:type="dxa"/>
            <w:vMerge w:val="restart"/>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样品管理</w:t>
            </w:r>
          </w:p>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8</w:t>
            </w:r>
            <w:r>
              <w:rPr>
                <w:rFonts w:hint="eastAsia" w:ascii="Times New Roman" w:hAnsi="Times New Roman" w:eastAsia="宋体" w:cs="Times New Roman"/>
                <w:color w:val="000000"/>
                <w:kern w:val="0"/>
                <w:szCs w:val="21"/>
              </w:rPr>
              <w:t>分）</w:t>
            </w:r>
          </w:p>
        </w:tc>
        <w:tc>
          <w:tcPr>
            <w:tcW w:w="5528" w:type="dxa"/>
            <w:vAlign w:val="center"/>
          </w:tcPr>
          <w:p>
            <w:pP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、检测机构是否能确保样品的完整性、真实性、代表性；样品是否有唯一性标识，避免样品的混淆；</w:t>
            </w:r>
            <w:r>
              <w:rPr>
                <w:rFonts w:hint="eastAsia" w:ascii="Times New Roman" w:hAnsi="Times New Roman" w:eastAsia="宋体" w:cs="Times New Roman"/>
                <w:kern w:val="0"/>
                <w:szCs w:val="21"/>
              </w:rPr>
              <w:t>见证取样的检测样品，检测机构接受委托时是否核验其见证取样信息。</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4</w:t>
            </w:r>
            <w:r>
              <w:rPr>
                <w:rFonts w:hint="eastAsia" w:ascii="Times New Roman" w:hAnsi="Times New Roman" w:eastAsia="宋体" w:cs="Times New Roman"/>
                <w:color w:val="000000"/>
                <w:kern w:val="0"/>
                <w:szCs w:val="21"/>
              </w:rPr>
              <w:t>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检查一项不完善扣2分，扣完为止。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34" w:type="dxa"/>
            <w:vMerge w:val="continue"/>
            <w:vAlign w:val="center"/>
          </w:tcPr>
          <w:p>
            <w:pPr>
              <w:widowControl/>
              <w:jc w:val="center"/>
              <w:rPr>
                <w:rFonts w:ascii="Times New Roman" w:hAnsi="Times New Roman" w:eastAsia="宋体" w:cs="Times New Roman"/>
                <w:b/>
                <w:bCs/>
                <w:color w:val="000000"/>
                <w:kern w:val="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jc w:val="center"/>
              <w:rPr>
                <w:rFonts w:ascii="Times New Roman" w:hAnsi="Times New Roman" w:eastAsia="宋体" w:cs="Times New Roman"/>
                <w:color w:val="000000"/>
                <w:kern w:val="0"/>
                <w:szCs w:val="21"/>
              </w:rPr>
            </w:pPr>
          </w:p>
        </w:tc>
        <w:tc>
          <w:tcPr>
            <w:tcW w:w="5528" w:type="dxa"/>
            <w:vAlign w:val="center"/>
          </w:tcPr>
          <w:p>
            <w:pP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、检测机构已检样品留置制度是否有效运行，留置的已检样品是否有标识。（</w:t>
            </w:r>
            <w:r>
              <w:rPr>
                <w:rFonts w:ascii="Times New Roman" w:hAnsi="Times New Roman" w:eastAsia="宋体" w:cs="Times New Roman"/>
                <w:color w:val="000000"/>
                <w:kern w:val="0"/>
                <w:szCs w:val="21"/>
              </w:rPr>
              <w:t>4</w:t>
            </w:r>
            <w:r>
              <w:rPr>
                <w:rFonts w:hint="eastAsia" w:ascii="Times New Roman" w:hAnsi="Times New Roman" w:eastAsia="宋体" w:cs="Times New Roman"/>
                <w:color w:val="000000"/>
                <w:kern w:val="0"/>
                <w:szCs w:val="21"/>
              </w:rPr>
              <w:t>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检查一项不完善扣2分，扣完为止。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34" w:type="dxa"/>
            <w:vMerge w:val="restart"/>
            <w:vAlign w:val="center"/>
          </w:tcPr>
          <w:p>
            <w:pPr>
              <w:jc w:val="center"/>
              <w:rPr>
                <w:rFonts w:ascii="Times New Roman" w:hAnsi="Times New Roman" w:eastAsia="宋体" w:cs="Times New Roman"/>
                <w:bCs/>
                <w:color w:val="000000"/>
                <w:szCs w:val="21"/>
              </w:rPr>
            </w:pPr>
            <w:r>
              <w:rPr>
                <w:rFonts w:hint="eastAsia" w:ascii="Times New Roman" w:hAnsi="Times New Roman" w:eastAsia="宋体" w:cs="Times New Roman"/>
                <w:b/>
                <w:bCs/>
                <w:color w:val="000000"/>
                <w:kern w:val="0"/>
                <w:szCs w:val="21"/>
              </w:rPr>
              <w:t>基本项</w:t>
            </w:r>
          </w:p>
        </w:tc>
        <w:tc>
          <w:tcPr>
            <w:tcW w:w="493" w:type="dxa"/>
            <w:vMerge w:val="restart"/>
            <w:vAlign w:val="center"/>
          </w:tcPr>
          <w:p>
            <w:pPr>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6</w:t>
            </w:r>
          </w:p>
        </w:tc>
        <w:tc>
          <w:tcPr>
            <w:tcW w:w="1195" w:type="dxa"/>
            <w:vMerge w:val="restart"/>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检测过程</w:t>
            </w:r>
          </w:p>
          <w:p>
            <w:pPr>
              <w:rPr>
                <w:rFonts w:ascii="Times New Roman" w:hAnsi="Times New Roman" w:eastAsia="宋体" w:cs="Times New Roman"/>
                <w:bCs/>
                <w:color w:val="000000"/>
                <w:szCs w:val="21"/>
              </w:rPr>
            </w:pP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4分）</w:t>
            </w:r>
          </w:p>
        </w:tc>
        <w:tc>
          <w:tcPr>
            <w:tcW w:w="5528" w:type="dxa"/>
            <w:vAlign w:val="center"/>
          </w:tcPr>
          <w:p>
            <w:pPr>
              <w:rPr>
                <w:rFonts w:ascii="Times New Roman" w:hAnsi="Times New Roman" w:eastAsia="宋体" w:cs="Times New Roman"/>
                <w:color w:val="000000"/>
              </w:rPr>
            </w:pPr>
            <w:r>
              <w:rPr>
                <w:rFonts w:ascii="Times New Roman" w:hAnsi="Times New Roman" w:eastAsia="宋体" w:cs="Times New Roman"/>
                <w:color w:val="000000"/>
              </w:rPr>
              <w:t>1</w:t>
            </w:r>
            <w:r>
              <w:rPr>
                <w:rFonts w:hint="eastAsia" w:ascii="Times New Roman" w:hAnsi="Times New Roman" w:eastAsia="宋体" w:cs="Times New Roman"/>
                <w:color w:val="000000"/>
              </w:rPr>
              <w:t>、现场检测是否按相关要求制定检测方案，</w:t>
            </w:r>
            <w:r>
              <w:rPr>
                <w:rFonts w:hint="eastAsia" w:ascii="Times New Roman" w:hAnsi="Times New Roman" w:eastAsia="宋体" w:cs="Times New Roman"/>
              </w:rPr>
              <w:t>抽测样品、工程部位是否符合标准要求。</w:t>
            </w:r>
            <w:r>
              <w:rPr>
                <w:rFonts w:hint="eastAsia" w:ascii="Times New Roman" w:hAnsi="Times New Roman" w:eastAsia="宋体" w:cs="Times New Roman"/>
                <w:color w:val="000000"/>
              </w:rPr>
              <w:t>（</w:t>
            </w:r>
            <w:r>
              <w:rPr>
                <w:rFonts w:ascii="Times New Roman" w:hAnsi="Times New Roman" w:eastAsia="宋体" w:cs="Times New Roman"/>
                <w:color w:val="000000"/>
              </w:rPr>
              <w:t>4</w:t>
            </w:r>
            <w:r>
              <w:rPr>
                <w:rFonts w:hint="eastAsia" w:ascii="Times New Roman" w:hAnsi="Times New Roman" w:eastAsia="宋体" w:cs="Times New Roman"/>
                <w:color w:val="000000"/>
              </w:rPr>
              <w:t>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w:t>
            </w:r>
            <w:r>
              <w:rPr>
                <w:rFonts w:ascii="宋体" w:hAnsi="宋体" w:eastAsia="宋体" w:cs="Times New Roman"/>
                <w:bCs/>
                <w:color w:val="000000"/>
                <w:szCs w:val="21"/>
              </w:rPr>
              <w:t>1</w:t>
            </w:r>
            <w:r>
              <w:rPr>
                <w:rFonts w:hint="eastAsia" w:ascii="宋体" w:hAnsi="宋体" w:eastAsia="宋体" w:cs="Times New Roman"/>
                <w:bCs/>
                <w:color w:val="000000"/>
                <w:szCs w:val="21"/>
              </w:rPr>
              <w:t>分，扣完为止。</w:t>
            </w:r>
          </w:p>
        </w:tc>
        <w:tc>
          <w:tcPr>
            <w:tcW w:w="749" w:type="dxa"/>
            <w:vMerge w:val="restart"/>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jc w:val="center"/>
              <w:rPr>
                <w:rFonts w:ascii="Times New Roman" w:hAnsi="Times New Roman" w:eastAsia="宋体" w:cs="Times New Roman"/>
                <w:color w:val="000000"/>
                <w:kern w:val="0"/>
                <w:szCs w:val="21"/>
              </w:rPr>
            </w:pPr>
          </w:p>
        </w:tc>
        <w:tc>
          <w:tcPr>
            <w:tcW w:w="5528" w:type="dxa"/>
            <w:vAlign w:val="center"/>
          </w:tcPr>
          <w:p>
            <w:pPr>
              <w:rPr>
                <w:rFonts w:ascii="Times New Roman" w:hAnsi="Times New Roman" w:eastAsia="宋体" w:cs="Times New Roman"/>
                <w:color w:val="000000"/>
              </w:rPr>
            </w:pPr>
            <w:r>
              <w:rPr>
                <w:rFonts w:ascii="Times New Roman" w:hAnsi="Times New Roman" w:eastAsia="宋体" w:cs="Times New Roman"/>
                <w:color w:val="000000"/>
              </w:rPr>
              <w:t>2</w:t>
            </w:r>
            <w:r>
              <w:rPr>
                <w:rFonts w:hint="eastAsia" w:ascii="Times New Roman" w:hAnsi="Times New Roman" w:eastAsia="宋体" w:cs="Times New Roman"/>
                <w:color w:val="000000"/>
              </w:rPr>
              <w:t>、是否按相关标准、规范规定的方法开展检测活动。（6分）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w:t>
            </w:r>
            <w:r>
              <w:rPr>
                <w:rFonts w:ascii="宋体" w:hAnsi="宋体" w:eastAsia="宋体" w:cs="Times New Roman"/>
                <w:bCs/>
                <w:color w:val="000000"/>
                <w:szCs w:val="21"/>
              </w:rPr>
              <w:t>1</w:t>
            </w:r>
            <w:r>
              <w:rPr>
                <w:rFonts w:hint="eastAsia" w:ascii="宋体" w:hAnsi="宋体" w:eastAsia="宋体" w:cs="Times New Roman"/>
                <w:bCs/>
                <w:color w:val="000000"/>
                <w:szCs w:val="21"/>
              </w:rPr>
              <w:t>分，扣完为止。</w:t>
            </w:r>
          </w:p>
        </w:tc>
        <w:tc>
          <w:tcPr>
            <w:tcW w:w="749" w:type="dxa"/>
            <w:vMerge w:val="continue"/>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jc w:val="center"/>
              <w:rPr>
                <w:rFonts w:ascii="Times New Roman" w:hAnsi="Times New Roman" w:eastAsia="宋体" w:cs="Times New Roman"/>
                <w:color w:val="000000"/>
                <w:kern w:val="0"/>
                <w:szCs w:val="21"/>
              </w:rPr>
            </w:pPr>
          </w:p>
        </w:tc>
        <w:tc>
          <w:tcPr>
            <w:tcW w:w="5528" w:type="dxa"/>
            <w:vAlign w:val="center"/>
          </w:tcPr>
          <w:p>
            <w:pPr>
              <w:rPr>
                <w:rFonts w:ascii="Times New Roman" w:hAnsi="Times New Roman" w:eastAsia="宋体" w:cs="Times New Roman"/>
                <w:color w:val="000000"/>
              </w:rPr>
            </w:pPr>
            <w:r>
              <w:rPr>
                <w:rFonts w:ascii="Times New Roman" w:hAnsi="Times New Roman" w:eastAsia="宋体" w:cs="Times New Roman"/>
                <w:color w:val="000000"/>
              </w:rPr>
              <w:t>3</w:t>
            </w:r>
            <w:r>
              <w:rPr>
                <w:rFonts w:hint="eastAsia" w:ascii="Times New Roman" w:hAnsi="Times New Roman" w:eastAsia="宋体" w:cs="Times New Roman"/>
                <w:color w:val="000000"/>
              </w:rPr>
              <w:t>、是否及时、真实记录检测过程中涉及的环境条件和设备状态。（</w:t>
            </w:r>
            <w:r>
              <w:rPr>
                <w:rFonts w:ascii="Times New Roman" w:hAnsi="Times New Roman" w:eastAsia="宋体" w:cs="Times New Roman"/>
                <w:color w:val="000000"/>
              </w:rPr>
              <w:t>4</w:t>
            </w:r>
            <w:r>
              <w:rPr>
                <w:rFonts w:hint="eastAsia" w:ascii="Times New Roman" w:hAnsi="Times New Roman" w:eastAsia="宋体" w:cs="Times New Roman"/>
                <w:color w:val="000000"/>
              </w:rPr>
              <w:t>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w:t>
            </w:r>
            <w:r>
              <w:rPr>
                <w:rFonts w:ascii="宋体" w:hAnsi="宋体" w:eastAsia="宋体" w:cs="Times New Roman"/>
                <w:bCs/>
                <w:color w:val="000000"/>
                <w:szCs w:val="21"/>
              </w:rPr>
              <w:t>1</w:t>
            </w:r>
            <w:r>
              <w:rPr>
                <w:rFonts w:hint="eastAsia" w:ascii="宋体" w:hAnsi="宋体" w:eastAsia="宋体" w:cs="Times New Roman"/>
                <w:bCs/>
                <w:color w:val="000000"/>
                <w:szCs w:val="21"/>
              </w:rPr>
              <w:t>分，扣完为止。</w:t>
            </w:r>
          </w:p>
        </w:tc>
        <w:tc>
          <w:tcPr>
            <w:tcW w:w="749" w:type="dxa"/>
            <w:vMerge w:val="continue"/>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restart"/>
            <w:vAlign w:val="center"/>
          </w:tcPr>
          <w:p>
            <w:pPr>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7</w:t>
            </w:r>
          </w:p>
        </w:tc>
        <w:tc>
          <w:tcPr>
            <w:tcW w:w="1195" w:type="dxa"/>
            <w:vMerge w:val="restart"/>
            <w:vAlign w:val="center"/>
          </w:tcPr>
          <w:p>
            <w:pPr>
              <w:widowControl/>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记录、报告</w:t>
            </w:r>
          </w:p>
          <w:p>
            <w:pPr>
              <w:widowControl/>
              <w:rPr>
                <w:rFonts w:ascii="Times New Roman" w:hAnsi="Times New Roman" w:eastAsia="宋体" w:cs="Times New Roman"/>
                <w:bCs/>
                <w:color w:val="000000"/>
                <w:szCs w:val="21"/>
              </w:rPr>
            </w:pP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24</w:t>
            </w:r>
            <w:r>
              <w:rPr>
                <w:rFonts w:hint="eastAsia" w:ascii="Times New Roman" w:hAnsi="Times New Roman" w:eastAsia="宋体" w:cs="Times New Roman"/>
                <w:color w:val="000000"/>
                <w:kern w:val="0"/>
                <w:szCs w:val="21"/>
              </w:rPr>
              <w:t>分）</w:t>
            </w:r>
          </w:p>
        </w:tc>
        <w:tc>
          <w:tcPr>
            <w:tcW w:w="5528" w:type="dxa"/>
            <w:vAlign w:val="center"/>
          </w:tcPr>
          <w:p>
            <w:pPr>
              <w:rPr>
                <w:rFonts w:ascii="Times New Roman" w:hAnsi="Times New Roman" w:eastAsia="宋体" w:cs="Times New Roman"/>
                <w:color w:val="000000"/>
              </w:rPr>
            </w:pPr>
            <w:r>
              <w:rPr>
                <w:rFonts w:ascii="Times New Roman" w:hAnsi="Times New Roman" w:eastAsia="宋体" w:cs="Times New Roman"/>
                <w:color w:val="000000"/>
              </w:rPr>
              <w:t>1</w:t>
            </w:r>
            <w:r>
              <w:rPr>
                <w:rFonts w:hint="eastAsia" w:ascii="Times New Roman" w:hAnsi="Times New Roman" w:eastAsia="宋体" w:cs="Times New Roman"/>
                <w:color w:val="000000"/>
              </w:rPr>
              <w:t>、检测报告依据规范标准是否正确、现行有效；是否信息量齐全，内容正确，符合检测委托及相关规定的要求。</w:t>
            </w:r>
            <w:r>
              <w:rPr>
                <w:rFonts w:hint="eastAsia" w:ascii="Times New Roman" w:hAnsi="Times New Roman" w:eastAsia="宋体" w:cs="Times New Roman"/>
                <w:color w:val="000000"/>
                <w:kern w:val="0"/>
                <w:szCs w:val="21"/>
              </w:rPr>
              <w:t>（6分）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检查一项不完善扣2分，扣完为止。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rPr>
                <w:rFonts w:ascii="Times New Roman" w:hAnsi="Times New Roman" w:eastAsia="宋体" w:cs="Times New Roman"/>
                <w:color w:val="000000"/>
                <w:kern w:val="0"/>
                <w:szCs w:val="21"/>
              </w:rPr>
            </w:pPr>
          </w:p>
        </w:tc>
        <w:tc>
          <w:tcPr>
            <w:tcW w:w="5528" w:type="dxa"/>
            <w:vAlign w:val="center"/>
          </w:tcPr>
          <w:p>
            <w:pPr>
              <w:rPr>
                <w:rFonts w:ascii="Times New Roman" w:hAnsi="Times New Roman" w:eastAsia="宋体" w:cs="Times New Roman"/>
                <w:color w:val="000000"/>
              </w:rPr>
            </w:pPr>
            <w:r>
              <w:rPr>
                <w:rFonts w:ascii="Times New Roman" w:hAnsi="Times New Roman" w:eastAsia="宋体" w:cs="Times New Roman"/>
                <w:color w:val="000000"/>
              </w:rPr>
              <w:t>2</w:t>
            </w:r>
            <w:r>
              <w:rPr>
                <w:rFonts w:hint="eastAsia" w:ascii="Times New Roman" w:hAnsi="Times New Roman" w:eastAsia="宋体" w:cs="Times New Roman"/>
                <w:color w:val="000000"/>
              </w:rPr>
              <w:t>、检测合同、委托单、原始记录、检测报告是否按年度统一编号，编号是否连续，是否随意抽撤、随意涂改。</w:t>
            </w:r>
            <w:r>
              <w:rPr>
                <w:rFonts w:hint="eastAsia" w:ascii="Times New Roman" w:hAnsi="Times New Roman" w:eastAsia="宋体" w:cs="Times New Roman"/>
                <w:color w:val="000000"/>
                <w:kern w:val="0"/>
                <w:szCs w:val="21"/>
              </w:rPr>
              <w:t>（6分）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检查一项不完善扣2分，扣完为止。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rPr>
                <w:rFonts w:ascii="Times New Roman" w:hAnsi="Times New Roman" w:eastAsia="宋体" w:cs="Times New Roman"/>
                <w:color w:val="000000"/>
                <w:kern w:val="0"/>
                <w:szCs w:val="21"/>
              </w:rPr>
            </w:pPr>
          </w:p>
        </w:tc>
        <w:tc>
          <w:tcPr>
            <w:tcW w:w="5528" w:type="dxa"/>
            <w:vAlign w:val="center"/>
          </w:tcPr>
          <w:p>
            <w:pPr>
              <w:rPr>
                <w:rFonts w:ascii="Times New Roman" w:hAnsi="Times New Roman" w:eastAsia="宋体" w:cs="Times New Roman"/>
                <w:color w:val="000000"/>
              </w:rPr>
            </w:pPr>
            <w:r>
              <w:rPr>
                <w:rFonts w:ascii="Times New Roman" w:hAnsi="Times New Roman" w:eastAsia="宋体" w:cs="Times New Roman"/>
                <w:color w:val="000000"/>
              </w:rPr>
              <w:t>3</w:t>
            </w:r>
            <w:r>
              <w:rPr>
                <w:rFonts w:hint="eastAsia" w:ascii="Times New Roman" w:hAnsi="Times New Roman" w:eastAsia="宋体" w:cs="Times New Roman"/>
                <w:color w:val="000000"/>
              </w:rPr>
              <w:t>、检测机构是否及时出具检测报告；是否按照规定在检测报告上签字盖章。</w:t>
            </w:r>
            <w:r>
              <w:rPr>
                <w:rFonts w:hint="eastAsia" w:ascii="Times New Roman" w:hAnsi="Times New Roman" w:eastAsia="宋体" w:cs="Times New Roman"/>
                <w:color w:val="000000"/>
                <w:kern w:val="0"/>
                <w:szCs w:val="21"/>
              </w:rPr>
              <w:t>（6分）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检查一项不完善扣2分，扣完为止。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rPr>
                <w:rFonts w:ascii="Times New Roman" w:hAnsi="Times New Roman" w:eastAsia="宋体" w:cs="Times New Roman"/>
                <w:color w:val="000000"/>
                <w:kern w:val="0"/>
                <w:szCs w:val="21"/>
              </w:rPr>
            </w:pPr>
          </w:p>
        </w:tc>
        <w:tc>
          <w:tcPr>
            <w:tcW w:w="5528" w:type="dxa"/>
            <w:vAlign w:val="center"/>
          </w:tcPr>
          <w:p>
            <w:pPr>
              <w:rPr>
                <w:rFonts w:ascii="Times New Roman" w:hAnsi="Times New Roman" w:eastAsia="宋体" w:cs="Times New Roman"/>
                <w:color w:val="000000"/>
              </w:rPr>
            </w:pPr>
            <w:r>
              <w:rPr>
                <w:rFonts w:hint="eastAsia" w:ascii="Times New Roman" w:hAnsi="Times New Roman" w:eastAsia="宋体" w:cs="Times New Roman"/>
                <w:color w:val="000000"/>
              </w:rPr>
              <w:t>4、检测原始记录是否信息量齐全，内容正确，符合相关规定的要求；检测原始记录的更正或者更改是否规范。</w:t>
            </w:r>
            <w:r>
              <w:rPr>
                <w:rFonts w:hint="eastAsia" w:ascii="Times New Roman" w:hAnsi="Times New Roman" w:eastAsia="宋体" w:cs="Times New Roman"/>
                <w:color w:val="000000"/>
                <w:kern w:val="0"/>
                <w:szCs w:val="21"/>
              </w:rPr>
              <w:t>（6分）</w:t>
            </w:r>
          </w:p>
        </w:tc>
        <w:tc>
          <w:tcPr>
            <w:tcW w:w="1522" w:type="dxa"/>
            <w:vAlign w:val="center"/>
          </w:tcPr>
          <w:p>
            <w:pPr>
              <w:jc w:val="center"/>
              <w:rPr>
                <w:rFonts w:ascii="宋体" w:hAnsi="Calibri" w:eastAsia="宋体" w:cs="Times New Roman"/>
                <w:bCs/>
                <w:color w:val="000000"/>
                <w:szCs w:val="21"/>
              </w:rPr>
            </w:pPr>
            <w:r>
              <w:rPr>
                <w:rFonts w:hint="eastAsia" w:ascii="宋体" w:hAnsi="宋体" w:eastAsia="宋体" w:cs="Times New Roman"/>
                <w:bCs/>
                <w:color w:val="000000"/>
                <w:szCs w:val="21"/>
              </w:rPr>
              <w:t>检查一项不完善扣2分，扣完为止。</w:t>
            </w: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434" w:type="dxa"/>
            <w:vMerge w:val="restart"/>
            <w:vAlign w:val="center"/>
          </w:tcPr>
          <w:p>
            <w:pPr>
              <w:jc w:val="center"/>
              <w:rPr>
                <w:rFonts w:ascii="Times New Roman" w:hAnsi="Times New Roman" w:eastAsia="宋体" w:cs="Times New Roman"/>
                <w:bCs/>
                <w:color w:val="000000"/>
                <w:szCs w:val="21"/>
              </w:rPr>
            </w:pPr>
            <w:r>
              <w:rPr>
                <w:rFonts w:hint="eastAsia" w:ascii="Times New Roman" w:hAnsi="Times New Roman" w:eastAsia="宋体" w:cs="Times New Roman"/>
                <w:b/>
                <w:bCs/>
                <w:color w:val="000000"/>
                <w:szCs w:val="21"/>
              </w:rPr>
              <w:t>附加项</w:t>
            </w:r>
          </w:p>
        </w:tc>
        <w:tc>
          <w:tcPr>
            <w:tcW w:w="493" w:type="dxa"/>
            <w:vAlign w:val="center"/>
          </w:tcPr>
          <w:p>
            <w:pPr>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1</w:t>
            </w:r>
          </w:p>
        </w:tc>
        <w:tc>
          <w:tcPr>
            <w:tcW w:w="1195" w:type="dxa"/>
            <w:vAlign w:val="center"/>
          </w:tcPr>
          <w:p>
            <w:pPr>
              <w:widowControl/>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参与国家、省、市的重大质量技术活动，取得科研成果的；（上限为</w:t>
            </w:r>
            <w:r>
              <w:rPr>
                <w:rFonts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分）</w:t>
            </w:r>
          </w:p>
        </w:tc>
        <w:tc>
          <w:tcPr>
            <w:tcW w:w="5528" w:type="dxa"/>
            <w:vAlign w:val="center"/>
          </w:tcPr>
          <w:p>
            <w:pPr>
              <w:rPr>
                <w:rFonts w:ascii="Times New Roman" w:hAnsi="Times New Roman" w:eastAsia="宋体" w:cs="Times New Roman"/>
                <w:color w:val="000000"/>
              </w:rPr>
            </w:pPr>
            <w:r>
              <w:rPr>
                <w:rFonts w:hint="eastAsia" w:ascii="Times New Roman" w:hAnsi="Times New Roman" w:eastAsia="宋体" w:cs="Times New Roman"/>
                <w:color w:val="000000"/>
                <w:kern w:val="0"/>
                <w:szCs w:val="21"/>
              </w:rPr>
              <w:t>近三年获得国家级</w:t>
            </w:r>
            <w:r>
              <w:rPr>
                <w:rFonts w:ascii="Times New Roman" w:hAnsi="Times New Roman" w:eastAsia="宋体" w:cs="Times New Roman"/>
                <w:color w:val="000000"/>
                <w:kern w:val="0"/>
                <w:szCs w:val="21"/>
              </w:rPr>
              <w:t>1.5</w:t>
            </w:r>
            <w:r>
              <w:rPr>
                <w:rFonts w:hint="eastAsia" w:ascii="Times New Roman" w:hAnsi="Times New Roman" w:eastAsia="宋体" w:cs="Times New Roman"/>
                <w:color w:val="000000"/>
                <w:kern w:val="0"/>
                <w:szCs w:val="21"/>
              </w:rPr>
              <w:t>分，省级</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分</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项，市级</w:t>
            </w:r>
            <w:r>
              <w:rPr>
                <w:rFonts w:ascii="Times New Roman" w:hAnsi="Times New Roman" w:eastAsia="宋体" w:cs="Times New Roman"/>
                <w:color w:val="000000"/>
                <w:kern w:val="0"/>
                <w:szCs w:val="21"/>
              </w:rPr>
              <w:t>0.5</w:t>
            </w:r>
            <w:r>
              <w:rPr>
                <w:rFonts w:hint="eastAsia" w:ascii="Times New Roman" w:hAnsi="Times New Roman" w:eastAsia="宋体" w:cs="Times New Roman"/>
                <w:color w:val="000000"/>
                <w:kern w:val="0"/>
                <w:szCs w:val="21"/>
              </w:rPr>
              <w:t>分</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项。</w:t>
            </w:r>
          </w:p>
        </w:tc>
        <w:tc>
          <w:tcPr>
            <w:tcW w:w="1522" w:type="dxa"/>
          </w:tcPr>
          <w:p>
            <w:pPr>
              <w:jc w:val="center"/>
              <w:rPr>
                <w:rFonts w:ascii="宋体" w:hAnsi="Calibri" w:eastAsia="宋体" w:cs="Times New Roman"/>
                <w:bCs/>
                <w:color w:val="000000"/>
                <w:szCs w:val="21"/>
              </w:rPr>
            </w:pP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Align w:val="center"/>
          </w:tcPr>
          <w:p>
            <w:pPr>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p>
        </w:tc>
        <w:tc>
          <w:tcPr>
            <w:tcW w:w="1195" w:type="dxa"/>
            <w:vAlign w:val="center"/>
          </w:tcPr>
          <w:p>
            <w:pPr>
              <w:widowControl/>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科研创新及技术改进得到认可的；（上限为</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分）</w:t>
            </w:r>
          </w:p>
        </w:tc>
        <w:tc>
          <w:tcPr>
            <w:tcW w:w="5528" w:type="dxa"/>
            <w:vAlign w:val="center"/>
          </w:tcPr>
          <w:p>
            <w:pPr>
              <w:widowControl/>
              <w:rPr>
                <w:rFonts w:ascii="Times New Roman" w:hAnsi="Times New Roman" w:eastAsia="宋体" w:cs="Times New Roman"/>
                <w:color w:val="000000"/>
              </w:rPr>
            </w:pPr>
            <w:r>
              <w:rPr>
                <w:rFonts w:hint="eastAsia" w:ascii="Times New Roman" w:hAnsi="Times New Roman" w:eastAsia="宋体" w:cs="Times New Roman"/>
                <w:color w:val="000000"/>
                <w:kern w:val="0"/>
                <w:szCs w:val="21"/>
              </w:rPr>
              <w:t>近三年自行研究开发用于检验检测行业的测试设备、软件系统、检测方法以及专利等，每项</w:t>
            </w:r>
            <w:r>
              <w:rPr>
                <w:rFonts w:ascii="Times New Roman" w:hAnsi="Times New Roman" w:eastAsia="宋体" w:cs="Times New Roman"/>
                <w:color w:val="000000"/>
                <w:kern w:val="0"/>
                <w:szCs w:val="21"/>
              </w:rPr>
              <w:t>0.5</w:t>
            </w:r>
            <w:r>
              <w:rPr>
                <w:rFonts w:hint="eastAsia" w:ascii="Times New Roman" w:hAnsi="Times New Roman" w:eastAsia="宋体" w:cs="Times New Roman"/>
                <w:color w:val="000000"/>
                <w:kern w:val="0"/>
                <w:szCs w:val="21"/>
              </w:rPr>
              <w:t>分。</w:t>
            </w:r>
          </w:p>
        </w:tc>
        <w:tc>
          <w:tcPr>
            <w:tcW w:w="1522" w:type="dxa"/>
          </w:tcPr>
          <w:p>
            <w:pPr>
              <w:jc w:val="center"/>
              <w:rPr>
                <w:rFonts w:ascii="宋体" w:hAnsi="Calibri" w:eastAsia="宋体" w:cs="Times New Roman"/>
                <w:bCs/>
                <w:color w:val="000000"/>
                <w:szCs w:val="21"/>
              </w:rPr>
            </w:pP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4" w:type="dxa"/>
            <w:vMerge w:val="continue"/>
            <w:vAlign w:val="center"/>
          </w:tcPr>
          <w:p>
            <w:pPr>
              <w:jc w:val="center"/>
              <w:rPr>
                <w:rFonts w:ascii="Times New Roman" w:hAnsi="Times New Roman" w:eastAsia="宋体" w:cs="Times New Roman"/>
                <w:b/>
                <w:bCs/>
                <w:color w:val="000000"/>
                <w:szCs w:val="21"/>
              </w:rPr>
            </w:pPr>
          </w:p>
        </w:tc>
        <w:tc>
          <w:tcPr>
            <w:tcW w:w="493" w:type="dxa"/>
            <w:vMerge w:val="restart"/>
            <w:vAlign w:val="center"/>
          </w:tcPr>
          <w:p>
            <w:pPr>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3</w:t>
            </w:r>
          </w:p>
        </w:tc>
        <w:tc>
          <w:tcPr>
            <w:tcW w:w="1195" w:type="dxa"/>
            <w:vMerge w:val="restart"/>
            <w:vAlign w:val="center"/>
          </w:tcPr>
          <w:p>
            <w:pPr>
              <w:widowControl/>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编制标准规范、教材书籍（检验检测行业）（上限为</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分）</w:t>
            </w:r>
          </w:p>
        </w:tc>
        <w:tc>
          <w:tcPr>
            <w:tcW w:w="5528" w:type="dxa"/>
            <w:vAlign w:val="center"/>
          </w:tcPr>
          <w:p>
            <w:pPr>
              <w:widowControl/>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近三年主编国家、行业标准规范、教材，加</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分；参编国家、行业标准规范、书籍的，每项加</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分；主编地方标准规范、教材，每项加</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分。参编地方标准规范、教材，每项加</w:t>
            </w:r>
            <w:r>
              <w:rPr>
                <w:rFonts w:ascii="Times New Roman" w:hAnsi="Times New Roman" w:eastAsia="宋体" w:cs="Times New Roman"/>
                <w:color w:val="000000"/>
                <w:kern w:val="0"/>
                <w:szCs w:val="21"/>
              </w:rPr>
              <w:t>0.5</w:t>
            </w:r>
            <w:r>
              <w:rPr>
                <w:rFonts w:hint="eastAsia" w:ascii="Times New Roman" w:hAnsi="Times New Roman" w:eastAsia="宋体" w:cs="Times New Roman"/>
                <w:color w:val="000000"/>
                <w:kern w:val="0"/>
                <w:szCs w:val="21"/>
              </w:rPr>
              <w:t>分。</w:t>
            </w:r>
          </w:p>
        </w:tc>
        <w:tc>
          <w:tcPr>
            <w:tcW w:w="1522" w:type="dxa"/>
          </w:tcPr>
          <w:p>
            <w:pPr>
              <w:jc w:val="center"/>
              <w:rPr>
                <w:rFonts w:ascii="宋体" w:hAnsi="Calibri" w:eastAsia="宋体" w:cs="Times New Roman"/>
                <w:bCs/>
                <w:color w:val="000000"/>
                <w:szCs w:val="21"/>
              </w:rPr>
            </w:pP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34" w:type="dxa"/>
            <w:vMerge w:val="continue"/>
            <w:vAlign w:val="center"/>
          </w:tcPr>
          <w:p>
            <w:pPr>
              <w:jc w:val="center"/>
              <w:rPr>
                <w:rFonts w:ascii="Times New Roman" w:hAnsi="Times New Roman" w:eastAsia="宋体" w:cs="Times New Roman"/>
                <w:b/>
                <w:bCs/>
                <w:color w:val="000000"/>
                <w:szCs w:val="21"/>
              </w:rPr>
            </w:pPr>
          </w:p>
        </w:tc>
        <w:tc>
          <w:tcPr>
            <w:tcW w:w="493" w:type="dxa"/>
            <w:vMerge w:val="continue"/>
            <w:vAlign w:val="center"/>
          </w:tcPr>
          <w:p>
            <w:pPr>
              <w:jc w:val="center"/>
              <w:rPr>
                <w:rFonts w:ascii="Times New Roman" w:hAnsi="Times New Roman" w:eastAsia="宋体" w:cs="Times New Roman"/>
                <w:bCs/>
                <w:color w:val="000000"/>
                <w:szCs w:val="21"/>
              </w:rPr>
            </w:pPr>
          </w:p>
        </w:tc>
        <w:tc>
          <w:tcPr>
            <w:tcW w:w="1195" w:type="dxa"/>
            <w:vMerge w:val="continue"/>
            <w:vAlign w:val="center"/>
          </w:tcPr>
          <w:p>
            <w:pPr>
              <w:widowControl/>
              <w:rPr>
                <w:rFonts w:ascii="Times New Roman" w:hAnsi="Times New Roman" w:eastAsia="宋体" w:cs="Times New Roman"/>
                <w:color w:val="000000"/>
                <w:kern w:val="0"/>
                <w:szCs w:val="21"/>
              </w:rPr>
            </w:pPr>
          </w:p>
        </w:tc>
        <w:tc>
          <w:tcPr>
            <w:tcW w:w="5528" w:type="dxa"/>
            <w:vAlign w:val="center"/>
          </w:tcPr>
          <w:p>
            <w:pPr>
              <w:widowControl/>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参编由市级以上主管部门编制的工程质量检测书籍，加1分。</w:t>
            </w:r>
          </w:p>
        </w:tc>
        <w:tc>
          <w:tcPr>
            <w:tcW w:w="1522" w:type="dxa"/>
          </w:tcPr>
          <w:p>
            <w:pPr>
              <w:jc w:val="center"/>
              <w:rPr>
                <w:rFonts w:ascii="宋体" w:hAnsi="Calibri" w:eastAsia="宋体" w:cs="Times New Roman"/>
                <w:bCs/>
                <w:color w:val="000000"/>
                <w:szCs w:val="21"/>
              </w:rPr>
            </w:pP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434" w:type="dxa"/>
            <w:vMerge w:val="restart"/>
            <w:vAlign w:val="center"/>
          </w:tcPr>
          <w:p>
            <w:pPr>
              <w:jc w:val="center"/>
              <w:rPr>
                <w:rFonts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附加项</w:t>
            </w:r>
          </w:p>
        </w:tc>
        <w:tc>
          <w:tcPr>
            <w:tcW w:w="493" w:type="dxa"/>
            <w:vAlign w:val="center"/>
          </w:tcPr>
          <w:p>
            <w:pPr>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4</w:t>
            </w:r>
          </w:p>
        </w:tc>
        <w:tc>
          <w:tcPr>
            <w:tcW w:w="1195" w:type="dxa"/>
            <w:vAlign w:val="center"/>
          </w:tcPr>
          <w:p>
            <w:pPr>
              <w:widowControl/>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检测机构及个人获得荣誉及表彰（上限为</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分）</w:t>
            </w:r>
          </w:p>
        </w:tc>
        <w:tc>
          <w:tcPr>
            <w:tcW w:w="5528" w:type="dxa"/>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、近三年获得国家级建设行业部门表彰的，加</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分；获得省、市级建设行业部门表彰的，加</w:t>
            </w:r>
            <w:r>
              <w:rPr>
                <w:rFonts w:ascii="Times New Roman" w:hAnsi="Times New Roman" w:eastAsia="宋体" w:cs="Times New Roman"/>
                <w:color w:val="000000"/>
                <w:kern w:val="0"/>
                <w:szCs w:val="21"/>
              </w:rPr>
              <w:t>0.5</w:t>
            </w:r>
            <w:r>
              <w:rPr>
                <w:rFonts w:hint="eastAsia" w:ascii="Times New Roman" w:hAnsi="Times New Roman" w:eastAsia="宋体" w:cs="Times New Roman"/>
                <w:color w:val="000000"/>
                <w:kern w:val="0"/>
                <w:szCs w:val="21"/>
              </w:rPr>
              <w:t>分。</w:t>
            </w:r>
          </w:p>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、有以下情况之一的每人次加</w:t>
            </w:r>
            <w:r>
              <w:rPr>
                <w:rFonts w:ascii="Times New Roman" w:hAnsi="Times New Roman" w:eastAsia="宋体" w:cs="Times New Roman"/>
                <w:color w:val="000000"/>
                <w:kern w:val="0"/>
                <w:szCs w:val="21"/>
              </w:rPr>
              <w:t>0.5</w:t>
            </w:r>
            <w:r>
              <w:rPr>
                <w:rFonts w:hint="eastAsia" w:ascii="Times New Roman" w:hAnsi="Times New Roman" w:eastAsia="宋体" w:cs="Times New Roman"/>
                <w:color w:val="000000"/>
                <w:kern w:val="0"/>
                <w:szCs w:val="21"/>
              </w:rPr>
              <w:t>分：</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）被有关部门授予学科带头人；</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）近</w:t>
            </w:r>
            <w:r>
              <w:rPr>
                <w:rFonts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年出版专著；</w:t>
            </w:r>
            <w:r>
              <w:rPr>
                <w:rFonts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）专业技术委员会专家；</w:t>
            </w:r>
            <w:r>
              <w:rPr>
                <w:rFonts w:ascii="Times New Roman" w:hAnsi="Times New Roman" w:eastAsia="宋体" w:cs="Times New Roman"/>
                <w:color w:val="000000"/>
                <w:kern w:val="0"/>
                <w:szCs w:val="21"/>
              </w:rPr>
              <w:t>4</w:t>
            </w:r>
            <w:r>
              <w:rPr>
                <w:rFonts w:hint="eastAsia" w:ascii="Times New Roman" w:hAnsi="Times New Roman" w:eastAsia="宋体" w:cs="Times New Roman"/>
                <w:color w:val="000000"/>
                <w:kern w:val="0"/>
                <w:szCs w:val="21"/>
              </w:rPr>
              <w:t>）国家特殊贡献专家及享受政府津贴人员。</w:t>
            </w:r>
          </w:p>
        </w:tc>
        <w:tc>
          <w:tcPr>
            <w:tcW w:w="1522" w:type="dxa"/>
          </w:tcPr>
          <w:p>
            <w:pPr>
              <w:jc w:val="center"/>
              <w:rPr>
                <w:rFonts w:ascii="宋体" w:hAnsi="Calibri" w:eastAsia="宋体" w:cs="Times New Roman"/>
                <w:bCs/>
                <w:color w:val="000000"/>
                <w:szCs w:val="21"/>
              </w:rPr>
            </w:pPr>
          </w:p>
        </w:tc>
        <w:tc>
          <w:tcPr>
            <w:tcW w:w="749" w:type="dxa"/>
          </w:tcPr>
          <w:p>
            <w:pPr>
              <w:jc w:val="center"/>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4" w:type="dxa"/>
            <w:vMerge w:val="continue"/>
            <w:vAlign w:val="center"/>
          </w:tcPr>
          <w:p>
            <w:pPr>
              <w:jc w:val="center"/>
              <w:rPr>
                <w:rFonts w:ascii="Times New Roman" w:hAnsi="Times New Roman" w:eastAsia="宋体" w:cs="Times New Roman"/>
                <w:bCs/>
                <w:color w:val="000000"/>
                <w:szCs w:val="21"/>
              </w:rPr>
            </w:pPr>
          </w:p>
        </w:tc>
        <w:tc>
          <w:tcPr>
            <w:tcW w:w="493" w:type="dxa"/>
            <w:vAlign w:val="center"/>
          </w:tcPr>
          <w:p>
            <w:pPr>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5</w:t>
            </w:r>
          </w:p>
        </w:tc>
        <w:tc>
          <w:tcPr>
            <w:tcW w:w="1195" w:type="dxa"/>
            <w:vAlign w:val="center"/>
          </w:tcPr>
          <w:p>
            <w:pPr>
              <w:widowControl/>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积极投身社会公益性活动（上限为</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分）</w:t>
            </w:r>
          </w:p>
        </w:tc>
        <w:tc>
          <w:tcPr>
            <w:tcW w:w="5528" w:type="dxa"/>
            <w:vAlign w:val="center"/>
          </w:tcPr>
          <w:p>
            <w:pPr>
              <w:rPr>
                <w:rFonts w:ascii="Times New Roman" w:hAnsi="Times New Roman" w:eastAsia="宋体" w:cs="Times New Roman"/>
                <w:color w:val="000000"/>
              </w:rPr>
            </w:pPr>
            <w:r>
              <w:rPr>
                <w:rFonts w:hint="eastAsia" w:ascii="Times New Roman" w:hAnsi="Times New Roman" w:eastAsia="宋体" w:cs="Times New Roman"/>
                <w:color w:val="000000"/>
              </w:rPr>
              <w:t>近三年参加公益募捐、扶贫、救灾等社会公益性活动的每项加</w:t>
            </w:r>
            <w:r>
              <w:rPr>
                <w:rFonts w:ascii="Times New Roman" w:hAnsi="Times New Roman" w:eastAsia="宋体" w:cs="Times New Roman"/>
                <w:color w:val="000000"/>
              </w:rPr>
              <w:t>0.5</w:t>
            </w:r>
            <w:r>
              <w:rPr>
                <w:rFonts w:hint="eastAsia" w:ascii="Times New Roman" w:hAnsi="Times New Roman" w:eastAsia="宋体" w:cs="Times New Roman"/>
                <w:color w:val="000000"/>
              </w:rPr>
              <w:t>分。</w:t>
            </w:r>
          </w:p>
        </w:tc>
        <w:tc>
          <w:tcPr>
            <w:tcW w:w="1522" w:type="dxa"/>
          </w:tcPr>
          <w:p>
            <w:pPr>
              <w:jc w:val="center"/>
              <w:rPr>
                <w:rFonts w:ascii="宋体" w:hAnsi="Calibri" w:eastAsia="宋体" w:cs="Times New Roman"/>
                <w:bCs/>
                <w:color w:val="000000"/>
                <w:szCs w:val="21"/>
              </w:rPr>
            </w:pPr>
          </w:p>
        </w:tc>
        <w:tc>
          <w:tcPr>
            <w:tcW w:w="749" w:type="dxa"/>
          </w:tcPr>
          <w:p>
            <w:pPr>
              <w:jc w:val="center"/>
              <w:rPr>
                <w:rFonts w:ascii="宋体" w:hAnsi="Calibri" w:eastAsia="宋体" w:cs="Times New Roman"/>
                <w:bCs/>
                <w:color w:val="000000"/>
                <w:szCs w:val="21"/>
              </w:rPr>
            </w:pPr>
          </w:p>
        </w:tc>
      </w:tr>
    </w:tbl>
    <w:p>
      <w:pPr>
        <w:spacing w:line="360" w:lineRule="auto"/>
        <w:rPr>
          <w:rFonts w:ascii="Calibri" w:hAnsi="Calibri" w:eastAsia="宋体" w:cs="Times New Roman"/>
          <w:color w:val="000000"/>
        </w:rPr>
      </w:pPr>
      <w:r>
        <w:rPr>
          <w:rFonts w:hint="eastAsia" w:ascii="Calibri" w:hAnsi="Calibri" w:eastAsia="宋体" w:cs="Times New Roman"/>
          <w:color w:val="000000"/>
        </w:rPr>
        <w:t>备注：</w:t>
      </w:r>
      <w:r>
        <w:rPr>
          <w:rFonts w:ascii="Calibri" w:hAnsi="Calibri" w:eastAsia="宋体" w:cs="Times New Roman"/>
          <w:color w:val="000000"/>
        </w:rPr>
        <w:t>1</w:t>
      </w:r>
      <w:r>
        <w:rPr>
          <w:rFonts w:hint="eastAsia" w:ascii="Calibri" w:hAnsi="Calibri" w:eastAsia="宋体" w:cs="Times New Roman"/>
          <w:color w:val="000000"/>
        </w:rPr>
        <w:t>、否决项条款，存在任意一条行为的检测机构，直接列入信用评价“黑名单”。</w:t>
      </w:r>
    </w:p>
    <w:p>
      <w:pPr>
        <w:ind w:firstLine="420" w:firstLineChars="200"/>
        <w:rPr>
          <w:rFonts w:ascii="Calibri" w:hAnsi="Calibri" w:eastAsia="宋体" w:cs="Times New Roman"/>
          <w:color w:val="000000"/>
        </w:rPr>
      </w:pPr>
      <w:r>
        <w:rPr>
          <w:rFonts w:ascii="Calibri" w:hAnsi="Calibri" w:eastAsia="宋体" w:cs="Times New Roman"/>
          <w:color w:val="000000"/>
        </w:rPr>
        <w:t xml:space="preserve">  2</w:t>
      </w:r>
      <w:r>
        <w:rPr>
          <w:rFonts w:hint="eastAsia" w:ascii="Calibri" w:hAnsi="Calibri" w:eastAsia="宋体" w:cs="Times New Roman"/>
          <w:color w:val="000000"/>
        </w:rPr>
        <w:t>、特殊项条款，存在任意一条行为的检测机构，不得定为A级及以上信用等级。</w:t>
      </w:r>
    </w:p>
    <w:p>
      <w:pPr>
        <w:rPr>
          <w:rFonts w:ascii="Times New Roman" w:hAnsi="Times New Roman" w:eastAsia="仿宋" w:cs="Times New Roman"/>
          <w:color w:val="000000"/>
          <w:sz w:val="32"/>
          <w:szCs w:val="32"/>
        </w:rPr>
      </w:pPr>
    </w:p>
    <w:p>
      <w:pPr>
        <w:widowControl/>
        <w:jc w:val="left"/>
        <w:rPr>
          <w:rFonts w:ascii="仿宋" w:hAnsi="仿宋" w:eastAsia="仿宋"/>
          <w:sz w:val="32"/>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仿宋简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dobeSongStd-Light">
    <w:altName w:val="黑体"/>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3.6pt;width:26.3pt;mso-position-horizontal:center;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v+M8d0QAAAAMBAAAPAAAAAAAAAAEAIAAAACIAAABkcnMvZG93&#10;bnJldi54bWxQSwECFAAUAAAACACHTuJAQ3cd1wcCAAACBAAADgAAAAAAAAABACAAAAAgAQAAZHJz&#10;L2Uyb0RvYy54bWxQSwUGAAAAAAYABgBZAQAAmQUAAAAA&#10;">
          <v:path/>
          <v:fill on="f" focussize="0,0"/>
          <v:stroke on="f" joinstyle="miter"/>
          <v:imagedata o:title=""/>
          <o:lock v:ext="edit"/>
          <v:textbox inset="0mm,0mm,0mm,0mm" style="mso-fit-shape-to-text:t;">
            <w:txbxContent>
              <w:p>
                <w:pPr>
                  <w:pStyle w:val="3"/>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- 2 -</w:t>
                </w:r>
                <w:r>
                  <w:rPr>
                    <w:rFonts w:hint="eastAsia" w:ascii="宋体" w:hAnsi="宋体" w:eastAsia="宋体" w:cs="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F0"/>
    <w:rsid w:val="00216F54"/>
    <w:rsid w:val="002452F3"/>
    <w:rsid w:val="002902D2"/>
    <w:rsid w:val="003E204B"/>
    <w:rsid w:val="00734AF4"/>
    <w:rsid w:val="0073565D"/>
    <w:rsid w:val="007C7F19"/>
    <w:rsid w:val="007C7F6B"/>
    <w:rsid w:val="00846FCC"/>
    <w:rsid w:val="008A7EF0"/>
    <w:rsid w:val="008B7691"/>
    <w:rsid w:val="008E67BC"/>
    <w:rsid w:val="00923D3D"/>
    <w:rsid w:val="00A32DF2"/>
    <w:rsid w:val="00A56B55"/>
    <w:rsid w:val="00B238CB"/>
    <w:rsid w:val="00B50487"/>
    <w:rsid w:val="00BD014C"/>
    <w:rsid w:val="00D903C3"/>
    <w:rsid w:val="00DB464F"/>
    <w:rsid w:val="00E44955"/>
    <w:rsid w:val="2F8FB8DF"/>
    <w:rsid w:val="627A2D1E"/>
    <w:rsid w:val="6E5174E6"/>
    <w:rsid w:val="7F5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脚 字符"/>
    <w:basedOn w:val="6"/>
    <w:link w:val="3"/>
    <w:qFormat/>
    <w:uiPriority w:val="99"/>
    <w:rPr>
      <w:sz w:val="18"/>
      <w:szCs w:val="18"/>
    </w:rPr>
  </w:style>
  <w:style w:type="character" w:customStyle="1" w:styleId="10">
    <w:name w:val="页脚 字符1"/>
    <w:basedOn w:val="6"/>
    <w:semiHidden/>
    <w:qFormat/>
    <w:uiPriority w:val="99"/>
    <w:rPr>
      <w:sz w:val="18"/>
      <w:szCs w:val="18"/>
    </w:rPr>
  </w:style>
  <w:style w:type="character" w:customStyle="1" w:styleId="11">
    <w:name w:val="页眉 字符"/>
    <w:basedOn w:val="6"/>
    <w:link w:val="4"/>
    <w:qFormat/>
    <w:uiPriority w:val="99"/>
    <w:rPr>
      <w:sz w:val="18"/>
      <w:szCs w:val="18"/>
    </w:r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1211</Words>
  <Characters>6908</Characters>
  <Lines>57</Lines>
  <Paragraphs>16</Paragraphs>
  <TotalTime>55</TotalTime>
  <ScaleCrop>false</ScaleCrop>
  <LinksUpToDate>false</LinksUpToDate>
  <CharactersWithSpaces>8103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2021-12-19T18:22:00Z</dcterms:created>
  <dc:creator>胡博</dc:creator>
  <cp:lastModifiedBy>user</cp:lastModifiedBy>
  <dcterms:modified xsi:type="dcterms:W3CDTF">2022-02-09T17:17:50Z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47050DA4DA0441B3AFDFB9FF67B85DCE</vt:lpwstr>
  </property>
</Properties>
</file>