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line="520" w:lineRule="exact"/>
        <w:jc w:val="center"/>
        <w:rPr>
          <w:rFonts w:ascii="宋体" w:hAnsi="宋体" w:cs="宋体"/>
          <w:b/>
          <w:kern w:val="0"/>
          <w:sz w:val="24"/>
        </w:rPr>
      </w:pPr>
      <w:r>
        <w:rPr>
          <w:rFonts w:hint="eastAsia" w:cs="宋体"/>
          <w:b/>
          <w:kern w:val="0"/>
          <w:sz w:val="32"/>
          <w:szCs w:val="32"/>
          <w:lang w:eastAsia="zh-CN"/>
        </w:rPr>
        <w:t>山东德和信土地房地产资产评估测绘有限公司</w:t>
      </w:r>
      <w:r>
        <w:rPr>
          <w:rFonts w:hint="eastAsia" w:cs="宋体"/>
          <w:b/>
          <w:kern w:val="0"/>
          <w:sz w:val="32"/>
          <w:szCs w:val="32"/>
        </w:rPr>
        <w:t>业务台账</w:t>
      </w:r>
    </w:p>
    <w:p>
      <w:pPr>
        <w:widowControl/>
        <w:spacing w:line="520" w:lineRule="exact"/>
        <w:ind w:firstLine="640" w:firstLineChars="200"/>
        <w:jc w:val="left"/>
        <w:rPr>
          <w:rFonts w:hint="eastAsia" w:ascii="楷体" w:hAnsi="楷体" w:eastAsia="楷体" w:cs="楷体"/>
          <w:kern w:val="0"/>
          <w:sz w:val="32"/>
          <w:szCs w:val="32"/>
        </w:rPr>
      </w:pPr>
      <w:r>
        <w:rPr>
          <w:rFonts w:hint="eastAsia" w:ascii="楷体" w:hAnsi="楷体" w:eastAsia="楷体" w:cs="楷体"/>
          <w:kern w:val="0"/>
          <w:sz w:val="32"/>
          <w:szCs w:val="32"/>
        </w:rPr>
        <w:t>一、基本情况</w:t>
      </w:r>
    </w:p>
    <w:p>
      <w:pPr>
        <w:widowControl/>
        <w:spacing w:line="520" w:lineRule="exact"/>
        <w:ind w:firstLine="640" w:firstLineChars="200"/>
        <w:jc w:val="left"/>
        <w:rPr>
          <w:rFonts w:hint="eastAsia" w:ascii="楷体" w:hAnsi="楷体" w:eastAsia="楷体" w:cs="楷体"/>
          <w:kern w:val="0"/>
          <w:sz w:val="32"/>
          <w:szCs w:val="32"/>
          <w:lang w:val="en-US" w:eastAsia="zh-CN"/>
        </w:rPr>
      </w:pPr>
      <w:r>
        <w:rPr>
          <w:rFonts w:hint="eastAsia" w:ascii="楷体" w:hAnsi="楷体" w:eastAsia="楷体" w:cs="楷体"/>
          <w:kern w:val="0"/>
          <w:sz w:val="32"/>
          <w:szCs w:val="32"/>
        </w:rPr>
        <w:t>公司名称：</w:t>
      </w:r>
      <w:r>
        <w:rPr>
          <w:rFonts w:hint="eastAsia" w:ascii="楷体" w:hAnsi="楷体" w:eastAsia="楷体" w:cs="楷体"/>
          <w:kern w:val="0"/>
          <w:sz w:val="32"/>
          <w:szCs w:val="32"/>
          <w:lang w:eastAsia="zh-CN"/>
        </w:rPr>
        <w:t>山东德和信土地房地产资产评估测绘有限公司</w:t>
      </w:r>
      <w:r>
        <w:rPr>
          <w:rFonts w:hint="eastAsia" w:ascii="楷体" w:hAnsi="楷体" w:eastAsia="楷体" w:cs="楷体"/>
          <w:kern w:val="0"/>
          <w:sz w:val="32"/>
          <w:szCs w:val="32"/>
        </w:rPr>
        <w:t xml:space="preserve">  公司地址：</w:t>
      </w:r>
      <w:r>
        <w:rPr>
          <w:rFonts w:hint="eastAsia" w:ascii="楷体" w:hAnsi="楷体" w:eastAsia="楷体" w:cs="楷体"/>
          <w:kern w:val="0"/>
          <w:sz w:val="32"/>
          <w:szCs w:val="32"/>
          <w:lang w:eastAsia="zh-CN"/>
        </w:rPr>
        <w:t>曲阜市鲁都市场路</w:t>
      </w:r>
      <w:r>
        <w:rPr>
          <w:rFonts w:hint="eastAsia" w:ascii="楷体" w:hAnsi="楷体" w:eastAsia="楷体" w:cs="楷体"/>
          <w:kern w:val="0"/>
          <w:sz w:val="32"/>
          <w:szCs w:val="32"/>
          <w:lang w:val="en-US" w:eastAsia="zh-CN"/>
        </w:rPr>
        <w:t>74号</w:t>
      </w:r>
    </w:p>
    <w:p>
      <w:pPr>
        <w:widowControl/>
        <w:spacing w:line="520" w:lineRule="exact"/>
        <w:ind w:firstLine="640" w:firstLineChars="200"/>
        <w:jc w:val="left"/>
        <w:rPr>
          <w:rFonts w:hint="eastAsia" w:ascii="楷体" w:hAnsi="楷体" w:eastAsia="楷体" w:cs="楷体"/>
          <w:kern w:val="0"/>
          <w:sz w:val="32"/>
          <w:szCs w:val="32"/>
          <w:lang w:val="en-US" w:eastAsia="zh-CN"/>
        </w:rPr>
      </w:pPr>
      <w:r>
        <w:rPr>
          <w:rFonts w:hint="eastAsia" w:ascii="楷体" w:hAnsi="楷体" w:eastAsia="楷体" w:cs="楷体"/>
          <w:kern w:val="0"/>
          <w:sz w:val="32"/>
          <w:szCs w:val="32"/>
        </w:rPr>
        <w:t>联系电话：</w:t>
      </w:r>
      <w:r>
        <w:rPr>
          <w:rFonts w:hint="eastAsia" w:ascii="楷体" w:hAnsi="楷体" w:eastAsia="楷体" w:cs="楷体"/>
          <w:kern w:val="0"/>
          <w:sz w:val="32"/>
          <w:szCs w:val="32"/>
          <w:lang w:val="en-US" w:eastAsia="zh-CN"/>
        </w:rPr>
        <w:t>13963778785</w:t>
      </w:r>
      <w:r>
        <w:rPr>
          <w:rFonts w:hint="eastAsia" w:ascii="楷体" w:hAnsi="楷体" w:eastAsia="楷体" w:cs="楷体"/>
          <w:kern w:val="0"/>
          <w:sz w:val="32"/>
          <w:szCs w:val="32"/>
        </w:rPr>
        <w:t xml:space="preserve">                               邮政编码：</w:t>
      </w:r>
      <w:r>
        <w:rPr>
          <w:rFonts w:hint="eastAsia" w:ascii="楷体" w:hAnsi="楷体" w:eastAsia="楷体" w:cs="楷体"/>
          <w:kern w:val="0"/>
          <w:sz w:val="32"/>
          <w:szCs w:val="32"/>
          <w:lang w:val="en-US" w:eastAsia="zh-CN"/>
        </w:rPr>
        <w:t>273100</w:t>
      </w:r>
    </w:p>
    <w:p>
      <w:pPr>
        <w:widowControl/>
        <w:spacing w:line="520" w:lineRule="exact"/>
        <w:ind w:firstLine="640" w:firstLineChars="200"/>
        <w:jc w:val="left"/>
        <w:rPr>
          <w:rFonts w:hint="eastAsia" w:ascii="楷体" w:hAnsi="楷体" w:eastAsia="楷体" w:cs="楷体"/>
          <w:kern w:val="0"/>
          <w:sz w:val="32"/>
          <w:szCs w:val="32"/>
          <w:lang w:val="en-US" w:eastAsia="zh-CN"/>
        </w:rPr>
      </w:pPr>
      <w:r>
        <w:rPr>
          <w:rFonts w:hint="eastAsia" w:ascii="楷体" w:hAnsi="楷体" w:eastAsia="楷体" w:cs="楷体"/>
          <w:kern w:val="0"/>
          <w:sz w:val="32"/>
          <w:szCs w:val="32"/>
        </w:rPr>
        <w:t>资格等级：</w:t>
      </w:r>
      <w:r>
        <w:rPr>
          <w:rFonts w:hint="eastAsia" w:ascii="楷体" w:hAnsi="楷体" w:eastAsia="楷体" w:cs="楷体"/>
          <w:kern w:val="0"/>
          <w:sz w:val="32"/>
          <w:szCs w:val="32"/>
          <w:lang w:eastAsia="zh-CN"/>
        </w:rPr>
        <w:t>三级</w:t>
      </w:r>
      <w:r>
        <w:rPr>
          <w:rFonts w:hint="eastAsia" w:ascii="楷体" w:hAnsi="楷体" w:eastAsia="楷体" w:cs="楷体"/>
          <w:kern w:val="0"/>
          <w:sz w:val="32"/>
          <w:szCs w:val="32"/>
        </w:rPr>
        <w:t xml:space="preserve">                                  </w:t>
      </w:r>
      <w:r>
        <w:rPr>
          <w:rFonts w:hint="eastAsia" w:ascii="楷体" w:hAnsi="楷体" w:eastAsia="楷体" w:cs="楷体"/>
          <w:kern w:val="0"/>
          <w:sz w:val="32"/>
          <w:szCs w:val="32"/>
          <w:lang w:val="en-US" w:eastAsia="zh-CN"/>
        </w:rPr>
        <w:t xml:space="preserve">   </w:t>
      </w:r>
      <w:r>
        <w:rPr>
          <w:rFonts w:hint="eastAsia" w:ascii="楷体" w:hAnsi="楷体" w:eastAsia="楷体" w:cs="楷体"/>
          <w:kern w:val="0"/>
          <w:sz w:val="32"/>
          <w:szCs w:val="32"/>
        </w:rPr>
        <w:t>证书编号：</w:t>
      </w:r>
      <w:r>
        <w:rPr>
          <w:rFonts w:hint="eastAsia" w:ascii="楷体" w:hAnsi="楷体" w:eastAsia="楷体" w:cs="楷体"/>
          <w:kern w:val="0"/>
          <w:sz w:val="32"/>
          <w:szCs w:val="32"/>
          <w:lang w:eastAsia="zh-CN"/>
        </w:rPr>
        <w:t>鲁评</w:t>
      </w:r>
      <w:r>
        <w:rPr>
          <w:rFonts w:hint="eastAsia" w:ascii="楷体" w:hAnsi="楷体" w:eastAsia="楷体" w:cs="楷体"/>
          <w:kern w:val="0"/>
          <w:sz w:val="32"/>
          <w:szCs w:val="32"/>
          <w:lang w:val="en-US" w:eastAsia="zh-CN"/>
        </w:rPr>
        <w:t>093019号</w:t>
      </w:r>
    </w:p>
    <w:p>
      <w:pPr>
        <w:widowControl/>
        <w:spacing w:line="520" w:lineRule="exact"/>
        <w:ind w:firstLine="960" w:firstLineChars="300"/>
        <w:jc w:val="left"/>
        <w:rPr>
          <w:rFonts w:hint="eastAsia" w:ascii="楷体" w:hAnsi="楷体" w:eastAsia="楷体" w:cs="楷体"/>
          <w:kern w:val="0"/>
          <w:sz w:val="32"/>
          <w:szCs w:val="32"/>
          <w:lang w:val="en-US" w:eastAsia="zh-CN"/>
        </w:rPr>
      </w:pPr>
      <w:r>
        <w:rPr>
          <w:rFonts w:hint="eastAsia" w:ascii="楷体" w:hAnsi="楷体" w:eastAsia="楷体" w:cs="楷体"/>
          <w:kern w:val="0"/>
          <w:sz w:val="32"/>
          <w:szCs w:val="32"/>
        </w:rPr>
        <w:t>法定代表人：</w:t>
      </w:r>
      <w:r>
        <w:rPr>
          <w:rFonts w:hint="eastAsia" w:ascii="楷体" w:hAnsi="楷体" w:eastAsia="楷体" w:cs="楷体"/>
          <w:kern w:val="0"/>
          <w:sz w:val="32"/>
          <w:szCs w:val="32"/>
          <w:lang w:eastAsia="zh-CN"/>
        </w:rPr>
        <w:t>段建才</w:t>
      </w:r>
      <w:r>
        <w:rPr>
          <w:rFonts w:hint="eastAsia" w:ascii="楷体" w:hAnsi="楷体" w:eastAsia="楷体" w:cs="楷体"/>
          <w:kern w:val="0"/>
          <w:sz w:val="32"/>
          <w:szCs w:val="32"/>
        </w:rPr>
        <w:t xml:space="preserve">                               </w:t>
      </w:r>
      <w:r>
        <w:rPr>
          <w:rFonts w:hint="eastAsia" w:ascii="楷体" w:hAnsi="楷体" w:eastAsia="楷体" w:cs="楷体"/>
          <w:kern w:val="0"/>
          <w:sz w:val="32"/>
          <w:szCs w:val="32"/>
          <w:lang w:val="en-US" w:eastAsia="zh-CN"/>
        </w:rPr>
        <w:t xml:space="preserve"> </w:t>
      </w:r>
      <w:r>
        <w:rPr>
          <w:rFonts w:hint="eastAsia" w:ascii="楷体" w:hAnsi="楷体" w:eastAsia="楷体" w:cs="楷体"/>
          <w:kern w:val="0"/>
          <w:sz w:val="32"/>
          <w:szCs w:val="32"/>
        </w:rPr>
        <w:t>成立时间：</w:t>
      </w:r>
      <w:r>
        <w:rPr>
          <w:rFonts w:hint="eastAsia" w:ascii="楷体" w:hAnsi="楷体" w:eastAsia="楷体" w:cs="楷体"/>
          <w:kern w:val="0"/>
          <w:sz w:val="32"/>
          <w:szCs w:val="32"/>
          <w:lang w:val="en-US" w:eastAsia="zh-CN"/>
        </w:rPr>
        <w:t>2011年08月22日</w:t>
      </w:r>
    </w:p>
    <w:p>
      <w:pPr>
        <w:widowControl/>
        <w:spacing w:line="520" w:lineRule="exact"/>
        <w:ind w:firstLine="640" w:firstLineChars="200"/>
        <w:jc w:val="left"/>
        <w:rPr>
          <w:rFonts w:hint="eastAsia" w:ascii="楷体" w:hAnsi="楷体" w:eastAsia="楷体" w:cs="楷体"/>
          <w:kern w:val="0"/>
          <w:sz w:val="32"/>
          <w:szCs w:val="32"/>
          <w:lang w:val="en-US" w:eastAsia="zh-CN"/>
        </w:rPr>
      </w:pPr>
      <w:r>
        <w:rPr>
          <w:rFonts w:hint="eastAsia" w:ascii="楷体" w:hAnsi="楷体" w:eastAsia="楷体" w:cs="楷体"/>
          <w:kern w:val="0"/>
          <w:sz w:val="32"/>
          <w:szCs w:val="32"/>
        </w:rPr>
        <w:t>营业执照号：</w:t>
      </w:r>
      <w:r>
        <w:rPr>
          <w:rFonts w:hint="eastAsia" w:ascii="楷体" w:hAnsi="楷体" w:eastAsia="楷体" w:cs="楷体"/>
          <w:kern w:val="0"/>
          <w:sz w:val="32"/>
          <w:szCs w:val="32"/>
          <w:lang w:val="en-US" w:eastAsia="zh-CN"/>
        </w:rPr>
        <w:t>9137088158191204X3</w:t>
      </w:r>
      <w:r>
        <w:rPr>
          <w:rFonts w:hint="eastAsia" w:ascii="楷体" w:hAnsi="楷体" w:eastAsia="楷体" w:cs="楷体"/>
          <w:kern w:val="0"/>
          <w:sz w:val="32"/>
          <w:szCs w:val="32"/>
        </w:rPr>
        <w:t xml:space="preserve">                    注册资金：</w:t>
      </w:r>
      <w:r>
        <w:rPr>
          <w:rFonts w:hint="eastAsia" w:ascii="楷体" w:hAnsi="楷体" w:eastAsia="楷体" w:cs="楷体"/>
          <w:kern w:val="0"/>
          <w:sz w:val="32"/>
          <w:szCs w:val="32"/>
          <w:lang w:val="en-US" w:eastAsia="zh-CN"/>
        </w:rPr>
        <w:t>306万元</w:t>
      </w:r>
    </w:p>
    <w:p>
      <w:pPr>
        <w:widowControl/>
        <w:spacing w:line="520" w:lineRule="exact"/>
        <w:ind w:firstLine="640" w:firstLineChars="200"/>
        <w:jc w:val="left"/>
        <w:rPr>
          <w:rFonts w:hint="eastAsia" w:ascii="楷体" w:hAnsi="楷体" w:eastAsia="楷体" w:cs="楷体"/>
          <w:kern w:val="0"/>
          <w:sz w:val="32"/>
          <w:szCs w:val="32"/>
        </w:rPr>
      </w:pPr>
      <w:r>
        <w:rPr>
          <w:rFonts w:hint="eastAsia" w:ascii="楷体" w:hAnsi="楷体" w:eastAsia="楷体" w:cs="楷体"/>
          <w:kern w:val="0"/>
          <w:sz w:val="32"/>
          <w:szCs w:val="32"/>
        </w:rPr>
        <w:t>二、公司估价师情况</w:t>
      </w:r>
      <w:bookmarkStart w:id="0" w:name="_GoBack"/>
      <w:bookmarkEnd w:id="0"/>
      <w:r>
        <w:rPr>
          <w:rFonts w:hint="eastAsia" w:ascii="楷体" w:hAnsi="楷体" w:eastAsia="楷体" w:cs="楷体"/>
          <w:kern w:val="0"/>
          <w:sz w:val="32"/>
          <w:szCs w:val="32"/>
        </w:rPr>
        <w:t>：</w:t>
      </w:r>
    </w:p>
    <w:tbl>
      <w:tblPr>
        <w:tblStyle w:val="5"/>
        <w:tblpPr w:leftFromText="180" w:rightFromText="180" w:vertAnchor="text" w:horzAnchor="page" w:tblpX="2280" w:tblpY="5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385"/>
        <w:gridCol w:w="2685"/>
        <w:gridCol w:w="5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eastAsia="zh-CN"/>
              </w:rPr>
            </w:pPr>
            <w:r>
              <w:rPr>
                <w:rFonts w:hint="eastAsia" w:ascii="楷体" w:hAnsi="楷体" w:eastAsia="楷体" w:cs="楷体"/>
                <w:b/>
                <w:bCs/>
                <w:sz w:val="28"/>
                <w:szCs w:val="28"/>
                <w:vertAlign w:val="baseline"/>
                <w:lang w:eastAsia="zh-CN"/>
              </w:rPr>
              <w:t>编号</w:t>
            </w:r>
          </w:p>
        </w:tc>
        <w:tc>
          <w:tcPr>
            <w:tcW w:w="2385"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楷体" w:hAnsi="楷体" w:eastAsia="楷体" w:cs="楷体"/>
                <w:b/>
                <w:bCs/>
                <w:sz w:val="28"/>
                <w:szCs w:val="28"/>
                <w:vertAlign w:val="baseline"/>
                <w:lang w:eastAsia="zh-CN"/>
              </w:rPr>
            </w:pPr>
            <w:r>
              <w:rPr>
                <w:rFonts w:hint="eastAsia" w:ascii="楷体" w:hAnsi="楷体" w:eastAsia="楷体" w:cs="楷体"/>
                <w:b/>
                <w:bCs/>
                <w:sz w:val="28"/>
                <w:szCs w:val="28"/>
                <w:lang w:eastAsia="zh-CN"/>
              </w:rPr>
              <w:t>注册房地产估价师姓名</w:t>
            </w:r>
          </w:p>
        </w:tc>
        <w:tc>
          <w:tcPr>
            <w:tcW w:w="2685"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楷体" w:hAnsi="楷体" w:eastAsia="楷体" w:cs="楷体"/>
                <w:b/>
                <w:bCs/>
                <w:kern w:val="2"/>
                <w:sz w:val="28"/>
                <w:szCs w:val="28"/>
                <w:vertAlign w:val="baseline"/>
                <w:lang w:val="en-US" w:eastAsia="zh-CN" w:bidi="ar-SA"/>
              </w:rPr>
            </w:pPr>
            <w:r>
              <w:rPr>
                <w:rFonts w:hint="eastAsia" w:ascii="楷体" w:hAnsi="楷体" w:eastAsia="楷体" w:cs="楷体"/>
                <w:b/>
                <w:bCs/>
                <w:sz w:val="28"/>
                <w:szCs w:val="28"/>
                <w:lang w:eastAsia="zh-CN"/>
              </w:rPr>
              <w:t>注册房地产估价师证书号</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center"/>
              <w:rPr>
                <w:rFonts w:hint="eastAsia" w:ascii="楷体" w:hAnsi="楷体" w:eastAsia="楷体" w:cs="楷体"/>
                <w:b/>
                <w:bCs/>
                <w:sz w:val="28"/>
                <w:szCs w:val="28"/>
                <w:lang w:eastAsia="zh-CN"/>
              </w:rPr>
            </w:pPr>
            <w:r>
              <w:rPr>
                <w:rFonts w:hint="eastAsia" w:ascii="楷体" w:hAnsi="楷体" w:eastAsia="楷体" w:cs="楷体"/>
                <w:b/>
                <w:bCs/>
                <w:sz w:val="28"/>
                <w:szCs w:val="28"/>
                <w:lang w:eastAsia="zh-CN"/>
              </w:rPr>
              <w:t>身份证编号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both"/>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（1）</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段建才</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3720160218</w:t>
            </w:r>
          </w:p>
        </w:tc>
        <w:tc>
          <w:tcPr>
            <w:tcW w:w="5535" w:type="dxa"/>
            <w:vAlign w:val="top"/>
          </w:tcPr>
          <w:p>
            <w:pPr>
              <w:jc w:val="center"/>
              <w:rPr>
                <w:rFonts w:hint="eastAsia" w:ascii="仿宋_GB2312" w:hAnsi="Times New Roman" w:eastAsia="仿宋_GB2312" w:cs="Times New Roman"/>
                <w:kern w:val="2"/>
                <w:sz w:val="28"/>
                <w:szCs w:val="21"/>
                <w:lang w:val="en-US" w:eastAsia="zh-CN" w:bidi="ar-SA"/>
              </w:rPr>
            </w:pPr>
            <w:r>
              <w:rPr>
                <w:rFonts w:hint="eastAsia" w:ascii="仿宋_GB2312" w:eastAsia="仿宋_GB2312"/>
                <w:sz w:val="28"/>
              </w:rPr>
              <w:t>372901197806100637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（2）</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孔凡斗</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4120120015</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370823196611054411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（3）</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牛井爱</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3720170206</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370881198011145849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（4）</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杨  勇</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3720140221</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370784198408010014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（5）</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刘淑瑞</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3720200051</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370881198211152541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（6）</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赵生高</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3720200055</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211021198804037318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（7）</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张元坤</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3720200195</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370124198910165039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7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（8）</w:t>
            </w:r>
          </w:p>
        </w:tc>
        <w:tc>
          <w:tcPr>
            <w:tcW w:w="23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lang w:eastAsia="zh-CN"/>
              </w:rPr>
            </w:pPr>
            <w:r>
              <w:rPr>
                <w:rFonts w:hint="eastAsia" w:ascii="楷体" w:hAnsi="楷体" w:eastAsia="楷体" w:cs="楷体"/>
                <w:kern w:val="2"/>
                <w:sz w:val="28"/>
                <w:szCs w:val="28"/>
                <w:lang w:val="en-US" w:eastAsia="zh-CN" w:bidi="ar"/>
              </w:rPr>
              <w:t>侯其涛</w:t>
            </w:r>
          </w:p>
        </w:tc>
        <w:tc>
          <w:tcPr>
            <w:tcW w:w="268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b/>
                <w:bCs/>
                <w:sz w:val="28"/>
                <w:szCs w:val="28"/>
                <w:vertAlign w:val="baseline"/>
              </w:rPr>
            </w:pPr>
            <w:r>
              <w:rPr>
                <w:rFonts w:hint="eastAsia" w:ascii="楷体" w:hAnsi="楷体" w:eastAsia="楷体" w:cs="楷体"/>
                <w:kern w:val="2"/>
                <w:sz w:val="28"/>
                <w:szCs w:val="28"/>
                <w:lang w:val="en-US" w:eastAsia="zh-CN" w:bidi="ar"/>
              </w:rPr>
              <w:t>3720200272</w:t>
            </w:r>
          </w:p>
        </w:tc>
        <w:tc>
          <w:tcPr>
            <w:tcW w:w="5535" w:type="dxa"/>
            <w:vAlign w:val="center"/>
          </w:tcPr>
          <w:p>
            <w:pPr>
              <w:keepNext w:val="0"/>
              <w:keepLines w:val="0"/>
              <w:widowControl w:val="0"/>
              <w:numPr>
                <w:ilvl w:val="0"/>
                <w:numId w:val="0"/>
              </w:numPr>
              <w:suppressLineNumbers w:val="0"/>
              <w:spacing w:before="0" w:beforeAutospacing="0" w:after="0" w:afterAutospacing="0" w:line="360" w:lineRule="auto"/>
              <w:ind w:left="0" w:right="0"/>
              <w:jc w:val="center"/>
              <w:rPr>
                <w:rFonts w:hint="eastAsia" w:ascii="楷体" w:hAnsi="楷体" w:eastAsia="楷体" w:cs="楷体"/>
                <w:kern w:val="2"/>
                <w:sz w:val="28"/>
                <w:szCs w:val="28"/>
                <w:lang w:val="en-US" w:eastAsia="zh-CN" w:bidi="ar"/>
              </w:rPr>
            </w:pPr>
            <w:r>
              <w:rPr>
                <w:rFonts w:hint="eastAsia" w:ascii="仿宋_GB2312" w:eastAsia="仿宋_GB2312"/>
                <w:sz w:val="28"/>
              </w:rPr>
              <w:t>340103198809012516</w:t>
            </w:r>
          </w:p>
        </w:tc>
      </w:tr>
    </w:tbl>
    <w:p>
      <w:pPr>
        <w:widowControl/>
        <w:spacing w:line="520" w:lineRule="exact"/>
        <w:ind w:firstLine="640" w:firstLineChars="200"/>
        <w:jc w:val="both"/>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p>
    <w:p>
      <w:pPr>
        <w:widowControl/>
        <w:spacing w:line="520" w:lineRule="exact"/>
        <w:ind w:firstLine="640" w:firstLineChars="200"/>
        <w:jc w:val="left"/>
        <w:rPr>
          <w:rFonts w:hint="eastAsia" w:ascii="楷体" w:hAnsi="楷体" w:eastAsia="楷体" w:cs="楷体"/>
          <w:kern w:val="0"/>
          <w:sz w:val="32"/>
          <w:szCs w:val="32"/>
        </w:rPr>
      </w:pPr>
      <w:r>
        <w:rPr>
          <w:rFonts w:hint="eastAsia" w:ascii="楷体" w:hAnsi="楷体" w:eastAsia="楷体" w:cs="楷体"/>
          <w:kern w:val="0"/>
          <w:sz w:val="32"/>
          <w:szCs w:val="32"/>
        </w:rPr>
        <w:t>三、备案有效期限内的业务台帐名录：</w:t>
      </w:r>
    </w:p>
    <w:p>
      <w:pPr>
        <w:ind w:firstLine="1440" w:firstLineChars="450"/>
        <w:rPr>
          <w:rFonts w:hint="eastAsia" w:ascii="楷体" w:hAnsi="楷体" w:eastAsia="楷体" w:cs="楷体"/>
          <w:color w:val="FF0000"/>
          <w:sz w:val="32"/>
          <w:szCs w:val="32"/>
        </w:rPr>
      </w:pPr>
      <w:r>
        <w:rPr>
          <w:rFonts w:hint="eastAsia" w:ascii="楷体" w:hAnsi="楷体" w:eastAsia="楷体" w:cs="楷体"/>
          <w:color w:val="FF0000"/>
          <w:sz w:val="32"/>
          <w:szCs w:val="32"/>
        </w:rPr>
        <w:t xml:space="preserve">            </w:t>
      </w:r>
    </w:p>
    <w:tbl>
      <w:tblPr>
        <w:tblStyle w:val="4"/>
        <w:tblW w:w="13794" w:type="dxa"/>
        <w:tblInd w:w="0" w:type="dxa"/>
        <w:shd w:val="clear" w:color="auto" w:fill="auto"/>
        <w:tblLayout w:type="fixed"/>
        <w:tblCellMar>
          <w:top w:w="0" w:type="dxa"/>
          <w:left w:w="0" w:type="dxa"/>
          <w:bottom w:w="0" w:type="dxa"/>
          <w:right w:w="0" w:type="dxa"/>
        </w:tblCellMar>
      </w:tblPr>
      <w:tblGrid>
        <w:gridCol w:w="541"/>
        <w:gridCol w:w="3221"/>
        <w:gridCol w:w="1605"/>
        <w:gridCol w:w="1830"/>
        <w:gridCol w:w="1320"/>
        <w:gridCol w:w="1290"/>
        <w:gridCol w:w="1260"/>
        <w:gridCol w:w="1320"/>
        <w:gridCol w:w="1407"/>
      </w:tblGrid>
      <w:tr>
        <w:tblPrEx>
          <w:shd w:val="clear" w:color="auto" w:fill="auto"/>
          <w:tblCellMar>
            <w:top w:w="0" w:type="dxa"/>
            <w:left w:w="0" w:type="dxa"/>
            <w:bottom w:w="0" w:type="dxa"/>
            <w:right w:w="0" w:type="dxa"/>
          </w:tblCellMar>
        </w:tblPrEx>
        <w:trPr>
          <w:trHeight w:val="84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楷体" w:hAnsi="楷体" w:eastAsia="楷体" w:cs="楷体"/>
                <w:b/>
                <w:i w:val="0"/>
                <w:color w:val="000000"/>
                <w:sz w:val="28"/>
                <w:szCs w:val="28"/>
                <w:u w:val="none"/>
              </w:rPr>
            </w:pPr>
            <w:r>
              <w:rPr>
                <w:rFonts w:hint="eastAsia" w:ascii="楷体" w:hAnsi="楷体" w:eastAsia="楷体" w:cs="楷体"/>
                <w:b/>
                <w:i w:val="0"/>
                <w:color w:val="000000"/>
                <w:kern w:val="0"/>
                <w:sz w:val="28"/>
                <w:szCs w:val="28"/>
                <w:u w:val="none"/>
                <w:lang w:val="en-US" w:eastAsia="zh-CN" w:bidi="ar"/>
              </w:rPr>
              <w:t>序号</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项目名称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估价报告编号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估价目的</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作业日期</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土地面积（㎡）</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建筑面积（㎡）</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评估总值（万元）</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b/>
                <w:i w:val="0"/>
                <w:color w:val="000000"/>
                <w:sz w:val="24"/>
                <w:szCs w:val="24"/>
                <w:u w:val="none"/>
              </w:rPr>
            </w:pPr>
            <w:r>
              <w:rPr>
                <w:rFonts w:hint="eastAsia" w:ascii="楷体" w:hAnsi="楷体" w:eastAsia="楷体" w:cs="楷体"/>
                <w:b/>
                <w:i w:val="0"/>
                <w:color w:val="000000"/>
                <w:kern w:val="0"/>
                <w:sz w:val="24"/>
                <w:szCs w:val="24"/>
                <w:u w:val="none"/>
                <w:lang w:val="en-US" w:eastAsia="zh-CN" w:bidi="ar"/>
              </w:rPr>
              <w:t>报告人（至少两人）</w:t>
            </w:r>
          </w:p>
        </w:tc>
      </w:tr>
      <w:tr>
        <w:tblPrEx>
          <w:tblCellMar>
            <w:top w:w="0" w:type="dxa"/>
            <w:left w:w="0" w:type="dxa"/>
            <w:bottom w:w="0" w:type="dxa"/>
            <w:right w:w="0" w:type="dxa"/>
          </w:tblCellMar>
        </w:tblPrEx>
        <w:trPr>
          <w:trHeight w:val="88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曲阜文化旅游发展投资（集团）有限公司位于曲阜市大同路47号（国贸中心）含租约的三处房地产项目市场价值评估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鲁金圣房价字(2018)第5-2号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2018/5/18至2018/5/22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18488.03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12800.64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10303.24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93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曲阜市方兴城市建设经营有限公司位于曲阜市城区西104国道西的一处房地产抵押项目市场价值评估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鲁金圣房价字（2018）第5-4-1号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2018/5/18至2018/5/22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4884</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4488.32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3012.56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80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曲阜闽商君廷大酒店有限公司位于曲阜市春秋中路16号的7宗商业房地产市场价值评估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2018/6/18至2018/6/20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1038.81</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8203.91</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8198.21</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54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泗水县金庄镇拆迁项目</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鲁金圣房价字（2018）第4-5号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拆迁评估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2018.4--2019.12</w:t>
            </w:r>
          </w:p>
        </w:tc>
        <w:tc>
          <w:tcPr>
            <w:tcW w:w="1290"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412659.83</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20632.9915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70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曲阜市迎时商贸有限公司的土地厂房设施等3处房地产市场价值评估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鲁金圣房价字(2018)第3-2号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2018/3/6至2018/3/9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13509.73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7038.57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691.94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曲阜市方兴城市建设经营有限公司位于曲阜市鼓楼南街路西的一处房地产抵押项目市场价值评估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鲁金圣房价字(2018)第5-4-2号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2018/5/18至2018/5/22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2396.1</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543.16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842.39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791"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曲阜市崇文大道南小雪街道办事处西雪村山东东宏管业股份有限公司工业房地产项目抵押价值评估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鲁金圣房价字(2018)第5-3号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2018/5/18至2018/5/22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94667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38340.59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3858.14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30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曲阜市供销合作社</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鲁金圣房价字（2018）第6-6号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2018/6/12至2018/6/22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2181.03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1595.7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502.76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53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09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泗水县文化馆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鲁金圣房价字(2018)第6-1号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2018/6/4至2018/6/6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1023.35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1320.92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48.08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54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泗水县卫生防疫站办公用房市场价值评估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鲁金圣房价字(2018)第6-2号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2018/6/4至2018/6/6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2782.45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2060.2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75.79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徐柏东、宫超</w:t>
            </w:r>
          </w:p>
        </w:tc>
      </w:tr>
      <w:tr>
        <w:tblPrEx>
          <w:tblCellMar>
            <w:top w:w="0" w:type="dxa"/>
            <w:left w:w="0" w:type="dxa"/>
            <w:bottom w:w="0" w:type="dxa"/>
            <w:right w:w="0" w:type="dxa"/>
          </w:tblCellMar>
        </w:tblPrEx>
        <w:trPr>
          <w:trHeight w:val="53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泗水县劳动就业办</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鲁金圣房价字(2018)第6-4号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2018/6/4至2018/6/6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9585.55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6078.05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2576.69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徐柏东、宫超</w:t>
            </w:r>
          </w:p>
        </w:tc>
      </w:tr>
      <w:tr>
        <w:tblPrEx>
          <w:tblCellMar>
            <w:top w:w="0" w:type="dxa"/>
            <w:left w:w="0" w:type="dxa"/>
            <w:bottom w:w="0" w:type="dxa"/>
            <w:right w:w="0" w:type="dxa"/>
          </w:tblCellMar>
        </w:tblPrEx>
        <w:trPr>
          <w:trHeight w:val="52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曲阜市开发区有朋路东段路南权属曲阜亚太科贸有限公司的科研办公房地产项目市场价值评估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鲁金圣房价字(2018)第7-2号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2018/6/4至2018/6/6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13366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4476.32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2204.82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徐柏东、宫超</w:t>
            </w:r>
          </w:p>
        </w:tc>
      </w:tr>
      <w:tr>
        <w:tblPrEx>
          <w:tblCellMar>
            <w:top w:w="0" w:type="dxa"/>
            <w:left w:w="0" w:type="dxa"/>
            <w:bottom w:w="0" w:type="dxa"/>
            <w:right w:w="0" w:type="dxa"/>
          </w:tblCellMar>
        </w:tblPrEx>
        <w:trPr>
          <w:trHeight w:val="57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曲阜市粮食局冷冻食品厂</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鲁金圣房价字(2018)第9-4号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2018/9/16至2018/10/20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1731.37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986.16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209.25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段建才、宫超</w:t>
            </w:r>
          </w:p>
        </w:tc>
      </w:tr>
      <w:tr>
        <w:tblPrEx>
          <w:tblCellMar>
            <w:top w:w="0" w:type="dxa"/>
            <w:left w:w="0" w:type="dxa"/>
            <w:bottom w:w="0" w:type="dxa"/>
            <w:right w:w="0" w:type="dxa"/>
          </w:tblCellMar>
        </w:tblPrEx>
        <w:trPr>
          <w:trHeight w:val="72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曲阜市粮食局饲料厂市场价值评估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鲁金圣房价字(2018)第10-1号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其他目的的房地产估价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2018/9/19至2018/10/21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6573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2389.28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142.6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段建才、宫超</w:t>
            </w:r>
          </w:p>
        </w:tc>
      </w:tr>
      <w:tr>
        <w:tblPrEx>
          <w:tblCellMar>
            <w:top w:w="0" w:type="dxa"/>
            <w:left w:w="0" w:type="dxa"/>
            <w:bottom w:w="0" w:type="dxa"/>
            <w:right w:w="0" w:type="dxa"/>
          </w:tblCellMar>
        </w:tblPrEx>
        <w:trPr>
          <w:trHeight w:val="59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曲阜市红星大楼</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鲁金圣房价字(2018)第10-3号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2018/10/02至2018/10/22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Arial Unicode MS" w:hAnsi="Arial Unicode MS" w:eastAsia="Arial Unicode MS" w:cs="Arial Unicode MS"/>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1395.57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1971.39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孔凡斗、徐柏东</w:t>
            </w:r>
          </w:p>
        </w:tc>
      </w:tr>
      <w:tr>
        <w:tblPrEx>
          <w:tblCellMar>
            <w:top w:w="0" w:type="dxa"/>
            <w:left w:w="0" w:type="dxa"/>
            <w:bottom w:w="0" w:type="dxa"/>
            <w:right w:w="0" w:type="dxa"/>
          </w:tblCellMar>
        </w:tblPrEx>
        <w:trPr>
          <w:trHeight w:val="111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济宁市兖州区惠民城建投资有限公司</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鲁金圣房价字（2018）第11-14号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2018/11/28至2018/12/2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9121.7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4800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6532.8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71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曲阜振源酒店管理有限公司房地产市场价值评估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鲁金圣房价字（2018）第12-4号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其他目的的房地产估价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2018/12/24至2018/12/29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7500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10190</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74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山东省联通通信有限公司曲阜市分公司拟被征收房地产估价报告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鲁金圣房价字（2018）第8-1号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2018/8/8至2018/8/16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1638.04</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731.19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25.24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72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19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曲阜海澳普汽车销售服务有限公司在建工程评估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鲁金圣房价字（2018）第12-3号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2018/12/14至2018/12/17</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44857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96515.08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10423.63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78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曲阜市海澳普汽车销售服务有限公司房地产项目市场价值评估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鲁金圣房价字（2018）第12-2号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2018/12/14至2018/12/17</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44857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5635.87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1008.82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65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曲阜市富粮置业有限公司商业用房市场抵押价值评估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2019/1/23至2019/1/24</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109.94</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165.28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148.72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7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曲阜市鑫军商品混凝土有限公司地上建筑物及构筑物估价报告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2019/1/11至2019/1/14</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11522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694.93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6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曲阜中盛熙悦酒店有限公司商业房地产市场价值评估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房地产咨询顾问服务</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2019/1/8至2019/1/9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3898.26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5067.74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62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曲阜市宝泽霖珠宝商贸有限公司商业房地产市场价值评估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鲁金圣房价字（2019）第2-1号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房地产咨询顾问服务</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2019/2/12至2019/2/13</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5274.49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8280.95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51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曲阜金普花园东褚红艳房地产评估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鲁金圣房价字(2019)第2-4号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2019/2/20至2019/2/22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462.56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229.98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195.48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69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曲阜市原王庄乡前孟小学建筑物及地上附着物市场价值评估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鲁金圣房价字（2018）第9-3号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其他目的的房地产估价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2018/8/25至2018/9/9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8216.6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1243.25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87.8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95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济宁市兖州区惠民城建投资有限公司位于济宁市兖州区怡和花园的28宗商业房地产项目抵押价值评估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2019/4/12至2019/4/20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175036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7057.69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941"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济宁市兖州区惠民城建投资有限公司位于济宁市兖州区酒仙桥3宗商业房地产项目抵押价值评估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2019/4/12至2019/4/20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137081</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69968.86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86064.02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88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29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济宁市兖州区惠民城建投资有限公司位于济宁市兖州区鼓楼街道文化路以北、酒仙桥路以西的一宗商业房地产项目抵押价值评估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2019/4/12至2019/4/20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63305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1583.34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17036.51</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93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兖州市绿源食品有限公司位于济宁市兖州区颜店镇颜家村的三处工业房地产项目抵押价值评估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鲁金圣房价字（2019）第5-1号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2019/5/16至2019/5/20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110845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43517.45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9570.97</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6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曲阜市中百百货有限公司地上建筑物、构筑物拆迁补偿估价报告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2019/1/25至2019/1/28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7705.56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660.44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83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曲阜市息陬镇因“河道治理”项目需拆迁权属孔令东地上建筑物附着物市场补偿价值估价报告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2019/4/3至2019/4/8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Arial Unicode MS" w:hAnsi="Arial Unicode MS" w:eastAsia="Arial Unicode MS" w:cs="Arial Unicode MS"/>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700.37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66.295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69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曲阜市息陬镇因“河道治理”项目需拆迁权属张军地上建筑物附着物市场补偿价值估价报告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2019/4/3至2019/4/8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Arial Unicode MS" w:hAnsi="Arial Unicode MS" w:eastAsia="Arial Unicode MS" w:cs="Arial Unicode MS"/>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5391.16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365.3215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861"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曲阜市息陬镇因“河道治理”项目需拆迁权属滨河人家地上建筑物附着物市场补偿价值估价报告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鲁金圣房价字(2019)第4-2号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2019/4/3至2019/4/8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Arial Unicode MS" w:hAnsi="Arial Unicode MS" w:eastAsia="Arial Unicode MS" w:cs="Arial Unicode MS"/>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1235.06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53.61</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52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曲阜市海澳普汽车销售服务有限公司房地产项目市场价值评估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鲁金圣房价字（2019）第5-2号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明晰市场价值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2019/5/25至2019/5/30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19435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5635.87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810.68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132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邹城万德置业有限公司位于邹城市东滩路南、岗山路东、太平路北、连青山路西的30套商业门头用房市场价值评估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鲁金圣房价字（2019）第6-2号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房地产咨询顾问服务</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2019/6/19至2019/6/24</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36226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2824.9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9191.86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841"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泗水县政府（原权属泗水县林业局）位于泗水县城区文化路北泗河路东的一处房产项目市场价值评估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鲁金圣房价字（2019）第6-3号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2019/6/14至2019/6/21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1244.95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996.68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33.08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孔凡斗、牛井爱</w:t>
            </w:r>
          </w:p>
        </w:tc>
      </w:tr>
      <w:tr>
        <w:tblPrEx>
          <w:tblCellMar>
            <w:top w:w="0" w:type="dxa"/>
            <w:left w:w="0" w:type="dxa"/>
            <w:bottom w:w="0" w:type="dxa"/>
            <w:right w:w="0" w:type="dxa"/>
          </w:tblCellMar>
        </w:tblPrEx>
        <w:trPr>
          <w:trHeight w:val="140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泗水县政府（原权属泗水县卫生防疫站）位于泗水县健康路以西、防疫站家属院以东、四街农工商店北、贸易公司南的一处房产项目市场价值评估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鲁金圣房价字（2019）第6-4号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2019/6/14至2019/6/21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2441.58</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1251.91</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75.79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孔凡斗、牛井爱</w:t>
            </w:r>
          </w:p>
        </w:tc>
      </w:tr>
      <w:tr>
        <w:tblPrEx>
          <w:tblCellMar>
            <w:top w:w="0" w:type="dxa"/>
            <w:left w:w="0" w:type="dxa"/>
            <w:bottom w:w="0" w:type="dxa"/>
            <w:right w:w="0" w:type="dxa"/>
          </w:tblCellMar>
        </w:tblPrEx>
        <w:trPr>
          <w:trHeight w:val="89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39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泗水县政府位于泗水县泗河路东文化路北的一处房产项目市场价值评估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鲁金圣房价字（2019）第6-6号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2019/6/14至2019/6/21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1777.78</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1120.98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72.42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孔凡斗、牛井爱</w:t>
            </w:r>
          </w:p>
        </w:tc>
      </w:tr>
      <w:tr>
        <w:tblPrEx>
          <w:tblCellMar>
            <w:top w:w="0" w:type="dxa"/>
            <w:left w:w="0" w:type="dxa"/>
            <w:bottom w:w="0" w:type="dxa"/>
            <w:right w:w="0" w:type="dxa"/>
          </w:tblCellMar>
        </w:tblPrEx>
        <w:trPr>
          <w:trHeight w:val="121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浩珂科技有限公司所属位于高新区327国道南、黄金大道东房地产市场价值评估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鲁金圣房价字（2019）第10-2号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为委托方明晰市场价值参考依据而评估房地产的公开市场价值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2019/10/25至2019/10/27</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147170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23801.19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14437.22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122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济宁市蔡园生建煤矿所属位于任城路、十五中对过金桥大厦房产市场价值评估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鲁金圣房价字（2019）第10-6号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为委托方明晰市场价值参考依据而评估房产的公开市场价值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2019/10/25至2019/10/30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4267.21</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1339.53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105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山东一恒智能装备有限公司所属位于兖州安阳路东侧房地产及地上附着物市场价值评估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鲁金圣房价字（2019）第10-3号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为委托方明晰市场价值参考依据而评估房地产及地上附着物的公开市场价值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2019/9/2至2019/9/5</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28333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8545.49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1484.46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136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济宁德建置业有限公司所属的位于济宁鲁商南池公馆商业街西段C区0112、0121、0140、0141号房商业房地产抵押价值评估报告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鲁金圣房价字（2019）第9-2号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为估价委托人确定房地产抵押贷款额度提供参考依据而评估房地产抵押价值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2019/2/16至2019/2/18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1030.17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1809.02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6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泗水县政府位于泗水县光明路东的一处房产项目市场价值评估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鲁金圣房价字（2019）第6-5号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房地产转让价格评估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2019/6/14至2019/6/21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1355.16</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1091.55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65.45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孔凡斗、牛井爱</w:t>
            </w:r>
          </w:p>
        </w:tc>
      </w:tr>
      <w:tr>
        <w:tblPrEx>
          <w:tblCellMar>
            <w:top w:w="0" w:type="dxa"/>
            <w:left w:w="0" w:type="dxa"/>
            <w:bottom w:w="0" w:type="dxa"/>
            <w:right w:w="0" w:type="dxa"/>
          </w:tblCellMar>
        </w:tblPrEx>
        <w:trPr>
          <w:trHeight w:val="99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郓城县金旭˙凯旋城综合楼1号楼1单元1-501号权属郭辉的一宗商业房地产项目抵押价值评估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鲁金圣房价字(2019)第7-1号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2019/7/5至2019/7/8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702</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1404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939.84</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82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曲阜市王庄开发区104国道西的山东和顺腾达高科技材料有限公司工业房地产项目抵押价值评估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鲁金圣房价字（2019）第8-1号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2019/8/8至2019/8/12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10000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6127.2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520.81</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125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曲阜市经济开发区西区104国道与阳春路交汇处东南侧的山东秦泰高科技材料有限公司工业房地产项目抵押价值评估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鲁金圣房价字（2019）第8-2号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2019/8/8至2019/8/12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14737.45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1267.42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93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曲阜市仓巷居委仓庚路北首路东权属裴秀峰先生的一宗商业房地产项目抵押价值评估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鲁金圣房价字(2019)第9-3号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2019/8/23至2019/8/26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66.68</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163.99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213.19</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孔凡斗、宫超</w:t>
            </w:r>
          </w:p>
        </w:tc>
      </w:tr>
      <w:tr>
        <w:tblPrEx>
          <w:tblCellMar>
            <w:top w:w="0" w:type="dxa"/>
            <w:left w:w="0" w:type="dxa"/>
            <w:bottom w:w="0" w:type="dxa"/>
            <w:right w:w="0" w:type="dxa"/>
          </w:tblCellMar>
        </w:tblPrEx>
        <w:trPr>
          <w:trHeight w:val="66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49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山东光华置业有限公司所属的位于禹城市101省道东侧国际商贸城的100套住宅房地产抵押价值评估报告</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2019/11/21至2019/11/25</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44269.28</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12107.09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3529.73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115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济宁市梁山县韩垓镇开河南村梁济公路西侧权属梁山县德润粮油购销储运有限公司的工业房地产项目抵押价值评估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2019/11/20至2019/11/23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36600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9681.13</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1679.52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106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曲阜市经济开发区权属陈继荣工业房地产项目市场价值评估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房屋征收评估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2019/11/26至2019/11/29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3333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3536.52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293.96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61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曲阜市经济开发区东区权属曲阜市金利装饰有限公司的工业房地产项目抵押价值评估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鲁金圣房价字(2019)第10-4号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2019/10/28至2019/10/30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3199.97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857.25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235.23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93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曲阜远恒建材股份有限公司位于曲阜市流经开发区西区园五路东首市场价值评估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鲁金圣房价字(2019)第10-5号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收储价值评估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2019/10/22至2019/10/25</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Arial Unicode MS" w:hAnsi="Arial Unicode MS" w:eastAsia="Arial Unicode MS" w:cs="Arial Unicode MS"/>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25991.08</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2469.15</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101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济宁市北湖高校生活园A片区7号楼02单元18层Q2-1801号权属陈璐嘉的一套成套住宅房地产抵押价值评估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鲁金圣房价字(2019)第12-2号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2019/12/6至2019/12/9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37.5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143.06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127.3663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1082"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55</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曲阜市经济开发区权属陈继荣工业房地产项目市场价值评估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收储价值评估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2019/11/26至2019/11/29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3333</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3083.84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275.4363</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56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56</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曲阜市金泰华房地产开发有限公司位于曲阜市五福路47号（中盛购物中心）的五处房地产项目市场价值评估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鲁金圣房价字(2020)第1-1号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2019/12/31至2020/1/6</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61197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15179</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22799.62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106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57</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济宁中联混凝土有限公司所属位于天地北湖湾9号合院9-5幢0101号房产市场价值评估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鲁金圣房价字(2019)第12-9号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收储价值评估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2019/12/28至2019/12/31</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345.87</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684.8226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77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58</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山东梁山水泊商场位于梁山县人民中路13号的二处房地产项目抵押价值评估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鲁金圣房价字(2020)第2-1号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2020/2/24至2020/2/29</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14299.71</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11474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7977.47</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孔凡斗、段建才</w:t>
            </w:r>
          </w:p>
        </w:tc>
      </w:tr>
      <w:tr>
        <w:tblPrEx>
          <w:tblCellMar>
            <w:top w:w="0" w:type="dxa"/>
            <w:left w:w="0" w:type="dxa"/>
            <w:bottom w:w="0" w:type="dxa"/>
            <w:right w:w="0" w:type="dxa"/>
          </w:tblCellMar>
        </w:tblPrEx>
        <w:trPr>
          <w:trHeight w:val="77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59</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山东运河之都生态酒庄有限公司抵押价值评估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鲁金圣房价字(2020)第6-1号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2020/6/22至2020/6/24</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5727</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3869.5</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413.26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孔凡斗、杨勇</w:t>
            </w:r>
          </w:p>
        </w:tc>
      </w:tr>
      <w:tr>
        <w:tblPrEx>
          <w:tblCellMar>
            <w:top w:w="0" w:type="dxa"/>
            <w:left w:w="0" w:type="dxa"/>
            <w:bottom w:w="0" w:type="dxa"/>
            <w:right w:w="0" w:type="dxa"/>
          </w:tblCellMar>
        </w:tblPrEx>
        <w:trPr>
          <w:trHeight w:val="60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60</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曲阜文化旅游发展投资（集团）有限公司位于曲阜市大同路47号（国贸中心）含租约的三处房产抵押价值评估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鲁金圣房价字(2020)第6-4号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2020/6/15至2020/6/18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2686.75</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12800.64</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9772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80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61</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曲阜文化旅游发展投资（集团）有限公司位于曲阜市城区西104国道西的一处房产抵押价值评估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鲁金圣房价字(2020)第6-5号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2020/6/15至2020/6/18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4884</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4488.32</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2890.48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59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62</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曲阜文化旅游发展投资（集团）有限公司位于曲阜市鼓楼南街路西的一处房地产抵押价值评估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鲁金圣房价字(2020)第6-6号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2020/6/15至2020/6/18</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2396.1</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543.16</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888.16</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73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63</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曲阜文化旅游发展投资（集团）有限公司位于曲阜市城区的三处房产抵押价值评估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鲁金圣房价字(2019)第11-1号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2019/11/20至2019/11/30</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68386.31</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4727.28</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87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64</w:t>
            </w:r>
          </w:p>
        </w:tc>
        <w:tc>
          <w:tcPr>
            <w:tcW w:w="3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权属徐丽位于济宁群英路以南济矿家园2号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鲁金圣房价字（2020）第7-3号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房地产抵押价值评估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2020/7/8至2020/7/12</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119.53</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102.80</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段建才、孔凡斗</w:t>
            </w:r>
          </w:p>
        </w:tc>
      </w:tr>
      <w:tr>
        <w:tblPrEx>
          <w:tblCellMar>
            <w:top w:w="0" w:type="dxa"/>
            <w:left w:w="0" w:type="dxa"/>
            <w:bottom w:w="0" w:type="dxa"/>
            <w:right w:w="0" w:type="dxa"/>
          </w:tblCellMar>
        </w:tblPrEx>
        <w:trPr>
          <w:trHeight w:val="683" w:hRule="atLeast"/>
        </w:trPr>
        <w:tc>
          <w:tcPr>
            <w:tcW w:w="85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楷体" w:hAnsi="楷体" w:eastAsia="楷体" w:cs="楷体"/>
                <w:i w:val="0"/>
                <w:color w:val="000000"/>
                <w:kern w:val="0"/>
                <w:sz w:val="20"/>
                <w:szCs w:val="20"/>
                <w:u w:val="none"/>
                <w:lang w:val="en-US" w:eastAsia="zh-CN" w:bidi="ar"/>
              </w:rPr>
              <w:t>合计：</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1023435.72</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1192635.31</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309928.8732</w:t>
            </w:r>
          </w:p>
        </w:tc>
        <w:tc>
          <w:tcPr>
            <w:tcW w:w="14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Arial Unicode MS" w:hAnsi="Arial Unicode MS" w:eastAsia="Arial Unicode MS" w:cs="Arial Unicode MS"/>
                <w:i w:val="0"/>
                <w:color w:val="000000"/>
                <w:sz w:val="20"/>
                <w:szCs w:val="20"/>
                <w:u w:val="none"/>
              </w:rPr>
            </w:pPr>
            <w:r>
              <w:rPr>
                <w:rFonts w:hint="eastAsia" w:ascii="Arial Unicode MS" w:hAnsi="Arial Unicode MS" w:eastAsia="Arial Unicode MS" w:cs="Arial Unicode MS"/>
                <w:i w:val="0"/>
                <w:color w:val="000000"/>
                <w:kern w:val="0"/>
                <w:sz w:val="20"/>
                <w:szCs w:val="20"/>
                <w:u w:val="none"/>
                <w:lang w:val="en-US" w:eastAsia="zh-CN" w:bidi="ar"/>
              </w:rPr>
              <w:t>/</w:t>
            </w:r>
          </w:p>
        </w:tc>
      </w:tr>
    </w:tbl>
    <w:p>
      <w:pPr>
        <w:widowControl/>
        <w:spacing w:line="520" w:lineRule="exact"/>
        <w:ind w:firstLine="640" w:firstLineChars="200"/>
        <w:jc w:val="left"/>
        <w:rPr>
          <w:rFonts w:hint="eastAsia" w:ascii="楷体" w:hAnsi="楷体" w:eastAsia="楷体" w:cs="楷体"/>
          <w:sz w:val="32"/>
          <w:szCs w:val="32"/>
        </w:rPr>
      </w:pPr>
      <w:r>
        <w:rPr>
          <w:rFonts w:hint="eastAsia" w:ascii="楷体" w:hAnsi="楷体" w:eastAsia="楷体" w:cs="楷体"/>
          <w:sz w:val="32"/>
          <w:szCs w:val="32"/>
        </w:rPr>
        <w:t>申请核定备案等级之日前3年完成估价标的物总建筑面积</w:t>
      </w:r>
      <w:r>
        <w:rPr>
          <w:rFonts w:hint="eastAsia" w:ascii="楷体" w:hAnsi="楷体" w:eastAsia="楷体" w:cs="楷体"/>
          <w:sz w:val="32"/>
          <w:szCs w:val="32"/>
          <w:lang w:val="en-US" w:eastAsia="zh-CN"/>
        </w:rPr>
        <w:t>119</w:t>
      </w:r>
      <w:r>
        <w:rPr>
          <w:rFonts w:hint="eastAsia" w:ascii="楷体" w:hAnsi="楷体" w:eastAsia="楷体" w:cs="楷体"/>
          <w:sz w:val="32"/>
          <w:szCs w:val="32"/>
        </w:rPr>
        <w:t>万平方米(或土地面积</w:t>
      </w:r>
      <w:r>
        <w:rPr>
          <w:rFonts w:hint="eastAsia" w:ascii="楷体" w:hAnsi="楷体" w:eastAsia="楷体" w:cs="楷体"/>
          <w:sz w:val="32"/>
          <w:szCs w:val="32"/>
          <w:lang w:val="en-US" w:eastAsia="zh-CN"/>
        </w:rPr>
        <w:t>102</w:t>
      </w:r>
      <w:r>
        <w:rPr>
          <w:rFonts w:hint="eastAsia" w:ascii="楷体" w:hAnsi="楷体" w:eastAsia="楷体" w:cs="楷体"/>
          <w:sz w:val="32"/>
          <w:szCs w:val="32"/>
        </w:rPr>
        <w:t xml:space="preserve">万平方米), 平均每年完成估价标的物建筑面积 </w:t>
      </w:r>
      <w:r>
        <w:rPr>
          <w:rFonts w:hint="eastAsia" w:ascii="楷体" w:hAnsi="楷体" w:eastAsia="楷体" w:cs="楷体"/>
          <w:sz w:val="32"/>
          <w:szCs w:val="32"/>
          <w:lang w:val="en-US" w:eastAsia="zh-CN"/>
        </w:rPr>
        <w:t>39</w:t>
      </w:r>
      <w:r>
        <w:rPr>
          <w:rFonts w:hint="eastAsia" w:ascii="楷体" w:hAnsi="楷体" w:eastAsia="楷体" w:cs="楷体"/>
          <w:sz w:val="32"/>
          <w:szCs w:val="32"/>
        </w:rPr>
        <w:t>万平方米（或土地面积</w:t>
      </w:r>
      <w:r>
        <w:rPr>
          <w:rFonts w:hint="eastAsia" w:ascii="楷体" w:hAnsi="楷体" w:eastAsia="楷体" w:cs="楷体"/>
          <w:sz w:val="32"/>
          <w:szCs w:val="32"/>
          <w:lang w:val="en-US" w:eastAsia="zh-CN"/>
        </w:rPr>
        <w:t>34</w:t>
      </w:r>
      <w:r>
        <w:rPr>
          <w:rFonts w:hint="eastAsia" w:ascii="楷体" w:hAnsi="楷体" w:eastAsia="楷体" w:cs="楷体"/>
          <w:sz w:val="32"/>
          <w:szCs w:val="32"/>
        </w:rPr>
        <w:t>万平方米）。</w:t>
      </w:r>
    </w:p>
    <w:sectPr>
      <w:headerReference r:id="rId3" w:type="default"/>
      <w:footerReference r:id="rId4" w:type="default"/>
      <w:pgSz w:w="16838" w:h="11906" w:orient="landscape"/>
      <w:pgMar w:top="1134" w:right="1440" w:bottom="1134"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943610" cy="172720"/>
              <wp:effectExtent l="0" t="0" r="0" b="0"/>
              <wp:wrapNone/>
              <wp:docPr id="1" name="Text Box 1"/>
              <wp:cNvGraphicFramePr/>
              <a:graphic xmlns:a="http://schemas.openxmlformats.org/drawingml/2006/main">
                <a:graphicData uri="http://schemas.microsoft.com/office/word/2010/wordprocessingShape">
                  <wps:wsp>
                    <wps:cNvSpPr txBox="1"/>
                    <wps:spPr>
                      <a:xfrm>
                        <a:off x="0" y="0"/>
                        <a:ext cx="943610" cy="172720"/>
                      </a:xfrm>
                      <a:prstGeom prst="rect">
                        <a:avLst/>
                      </a:prstGeom>
                      <a:noFill/>
                      <a:ln>
                        <a:noFill/>
                      </a:ln>
                    </wps:spPr>
                    <wps:txbx>
                      <w:txbxContent>
                        <w:p>
                          <w:pPr>
                            <w:snapToGrid w:val="0"/>
                            <w:rPr>
                              <w:sz w:val="18"/>
                              <w:szCs w:val="18"/>
                            </w:rPr>
                          </w:pPr>
                          <w:r>
                            <w:rPr>
                              <w:rFonts w:hint="eastAsia" w:cs="宋体"/>
                            </w:rPr>
                            <w:t>第</w:t>
                          </w: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t>1</w:t>
                          </w:r>
                          <w:r>
                            <w:rPr>
                              <w:sz w:val="18"/>
                              <w:szCs w:val="18"/>
                            </w:rPr>
                            <w:fldChar w:fldCharType="end"/>
                          </w:r>
                          <w:r>
                            <w:rPr>
                              <w:sz w:val="18"/>
                              <w:szCs w:val="18"/>
                            </w:rPr>
                            <w:t xml:space="preserve"> </w:t>
                          </w:r>
                          <w:r>
                            <w:rPr>
                              <w:rFonts w:hint="eastAsia" w:cs="宋体"/>
                              <w:sz w:val="18"/>
                              <w:szCs w:val="18"/>
                            </w:rPr>
                            <w:t>页</w:t>
                          </w:r>
                          <w:r>
                            <w:rPr>
                              <w:sz w:val="18"/>
                              <w:szCs w:val="18"/>
                            </w:rPr>
                            <w:t xml:space="preserve"> </w:t>
                          </w:r>
                          <w:r>
                            <w:rPr>
                              <w:rFonts w:hint="eastAsia" w:cs="宋体"/>
                              <w:sz w:val="18"/>
                              <w:szCs w:val="18"/>
                            </w:rPr>
                            <w:t>共</w:t>
                          </w:r>
                          <w:r>
                            <w:rPr>
                              <w:sz w:val="18"/>
                              <w:szCs w:val="18"/>
                            </w:rPr>
                            <w:t xml:space="preserve"> </w:t>
                          </w:r>
                          <w:r>
                            <w:fldChar w:fldCharType="begin"/>
                          </w:r>
                          <w:r>
                            <w:instrText xml:space="preserve"> NUMPAGES  \* MERGEFORMAT </w:instrText>
                          </w:r>
                          <w:r>
                            <w:fldChar w:fldCharType="separate"/>
                          </w:r>
                          <w:r>
                            <w:rPr>
                              <w:sz w:val="18"/>
                              <w:szCs w:val="18"/>
                            </w:rPr>
                            <w:t>2</w:t>
                          </w:r>
                          <w:r>
                            <w:rPr>
                              <w:sz w:val="18"/>
                              <w:szCs w:val="18"/>
                            </w:rPr>
                            <w:fldChar w:fldCharType="end"/>
                          </w:r>
                          <w:r>
                            <w:rPr>
                              <w:sz w:val="18"/>
                              <w:szCs w:val="18"/>
                            </w:rPr>
                            <w:t xml:space="preserve"> </w:t>
                          </w:r>
                          <w:r>
                            <w:rPr>
                              <w:rFonts w:hint="eastAsia" w:cs="宋体"/>
                              <w:sz w:val="18"/>
                              <w:szCs w:val="18"/>
                            </w:rPr>
                            <w:t>页</w:t>
                          </w:r>
                        </w:p>
                      </w:txbxContent>
                    </wps:txbx>
                    <wps:bodyPr wrap="none" lIns="0" tIns="0" rIns="0" bIns="0" upright="1">
                      <a:spAutoFit/>
                    </wps:bodyPr>
                  </wps:wsp>
                </a:graphicData>
              </a:graphic>
            </wp:anchor>
          </w:drawing>
        </mc:Choice>
        <mc:Fallback>
          <w:pict>
            <v:shape id="Text Box 1" o:spid="_x0000_s1026" o:spt="202" type="#_x0000_t202" style="position:absolute;left:0pt;margin-top:0pt;height:13.6pt;width:74.3pt;mso-position-horizontal:center;mso-position-horizontal-relative:margin;mso-wrap-style:none;z-index:1024;mso-width-relative:page;mso-height-relative:page;" filled="f" stroked="f" coordsize="21600,21600" o:gfxdata="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FiGCPfRAAAABAEAAA8AAAAAAAAAAQAg&#10;AAAAIgAAAGRycy9kb3ducmV2LnhtbFBLAQIUABQAAAAIAIdO4kDWxl8eowEAAEgDAAAOAAAAAAAA&#10;AAEAIAAAACABAABkcnMvZTJvRG9jLnhtbFBLBQYAAAAABgAGAFkBAAA1BQAAAAA=&#10;">
              <v:fill on="f" focussize="0,0"/>
              <v:stroke on="f"/>
              <v:imagedata o:title=""/>
              <o:lock v:ext="edit" aspectratio="f"/>
              <v:textbox inset="0mm,0mm,0mm,0mm" style="mso-fit-shape-to-text:t;">
                <w:txbxContent>
                  <w:p>
                    <w:pPr>
                      <w:snapToGrid w:val="0"/>
                      <w:rPr>
                        <w:sz w:val="18"/>
                        <w:szCs w:val="18"/>
                      </w:rPr>
                    </w:pPr>
                    <w:r>
                      <w:rPr>
                        <w:rFonts w:hint="eastAsia" w:cs="宋体"/>
                      </w:rPr>
                      <w:t>第</w:t>
                    </w: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t>1</w:t>
                    </w:r>
                    <w:r>
                      <w:rPr>
                        <w:sz w:val="18"/>
                        <w:szCs w:val="18"/>
                      </w:rPr>
                      <w:fldChar w:fldCharType="end"/>
                    </w:r>
                    <w:r>
                      <w:rPr>
                        <w:sz w:val="18"/>
                        <w:szCs w:val="18"/>
                      </w:rPr>
                      <w:t xml:space="preserve"> </w:t>
                    </w:r>
                    <w:r>
                      <w:rPr>
                        <w:rFonts w:hint="eastAsia" w:cs="宋体"/>
                        <w:sz w:val="18"/>
                        <w:szCs w:val="18"/>
                      </w:rPr>
                      <w:t>页</w:t>
                    </w:r>
                    <w:r>
                      <w:rPr>
                        <w:sz w:val="18"/>
                        <w:szCs w:val="18"/>
                      </w:rPr>
                      <w:t xml:space="preserve"> </w:t>
                    </w:r>
                    <w:r>
                      <w:rPr>
                        <w:rFonts w:hint="eastAsia" w:cs="宋体"/>
                        <w:sz w:val="18"/>
                        <w:szCs w:val="18"/>
                      </w:rPr>
                      <w:t>共</w:t>
                    </w:r>
                    <w:r>
                      <w:rPr>
                        <w:sz w:val="18"/>
                        <w:szCs w:val="18"/>
                      </w:rPr>
                      <w:t xml:space="preserve"> </w:t>
                    </w:r>
                    <w:r>
                      <w:fldChar w:fldCharType="begin"/>
                    </w:r>
                    <w:r>
                      <w:instrText xml:space="preserve"> NUMPAGES  \* MERGEFORMAT </w:instrText>
                    </w:r>
                    <w:r>
                      <w:fldChar w:fldCharType="separate"/>
                    </w:r>
                    <w:r>
                      <w:rPr>
                        <w:sz w:val="18"/>
                        <w:szCs w:val="18"/>
                      </w:rPr>
                      <w:t>2</w:t>
                    </w:r>
                    <w:r>
                      <w:rPr>
                        <w:sz w:val="18"/>
                        <w:szCs w:val="18"/>
                      </w:rPr>
                      <w:fldChar w:fldCharType="end"/>
                    </w:r>
                    <w:r>
                      <w:rPr>
                        <w:sz w:val="18"/>
                        <w:szCs w:val="18"/>
                      </w:rPr>
                      <w:t xml:space="preserve"> </w:t>
                    </w:r>
                    <w:r>
                      <w:rPr>
                        <w:rFonts w:hint="eastAsia" w:cs="宋体"/>
                        <w:sz w:val="18"/>
                        <w:szCs w:val="18"/>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505346"/>
    <w:rsid w:val="00005D59"/>
    <w:rsid w:val="0007298B"/>
    <w:rsid w:val="0009293C"/>
    <w:rsid w:val="00093A69"/>
    <w:rsid w:val="000E72AE"/>
    <w:rsid w:val="00116959"/>
    <w:rsid w:val="00127B00"/>
    <w:rsid w:val="00133810"/>
    <w:rsid w:val="0013559D"/>
    <w:rsid w:val="00153426"/>
    <w:rsid w:val="001730B2"/>
    <w:rsid w:val="00185567"/>
    <w:rsid w:val="00196FF1"/>
    <w:rsid w:val="001B11F8"/>
    <w:rsid w:val="0021190F"/>
    <w:rsid w:val="002249B0"/>
    <w:rsid w:val="00255F68"/>
    <w:rsid w:val="00286029"/>
    <w:rsid w:val="002939AE"/>
    <w:rsid w:val="00294E6E"/>
    <w:rsid w:val="002B30FE"/>
    <w:rsid w:val="002B5A7D"/>
    <w:rsid w:val="002B7A92"/>
    <w:rsid w:val="002E238A"/>
    <w:rsid w:val="003023EC"/>
    <w:rsid w:val="0032183C"/>
    <w:rsid w:val="003307CC"/>
    <w:rsid w:val="00331DF3"/>
    <w:rsid w:val="00343E6D"/>
    <w:rsid w:val="003471F4"/>
    <w:rsid w:val="00360833"/>
    <w:rsid w:val="0036482D"/>
    <w:rsid w:val="00376C75"/>
    <w:rsid w:val="003824B9"/>
    <w:rsid w:val="00383027"/>
    <w:rsid w:val="00384704"/>
    <w:rsid w:val="003A7149"/>
    <w:rsid w:val="003D36E3"/>
    <w:rsid w:val="003E14FE"/>
    <w:rsid w:val="003E1D2A"/>
    <w:rsid w:val="003F6F92"/>
    <w:rsid w:val="00414EB8"/>
    <w:rsid w:val="00450A7C"/>
    <w:rsid w:val="004633AC"/>
    <w:rsid w:val="00491DB5"/>
    <w:rsid w:val="004A31AC"/>
    <w:rsid w:val="004B2C0E"/>
    <w:rsid w:val="004B5CE0"/>
    <w:rsid w:val="004C2845"/>
    <w:rsid w:val="004D1CC9"/>
    <w:rsid w:val="004D35EB"/>
    <w:rsid w:val="004D6112"/>
    <w:rsid w:val="004D66BF"/>
    <w:rsid w:val="004D7191"/>
    <w:rsid w:val="004E14EE"/>
    <w:rsid w:val="00521595"/>
    <w:rsid w:val="00527F63"/>
    <w:rsid w:val="0054289C"/>
    <w:rsid w:val="00545585"/>
    <w:rsid w:val="00566592"/>
    <w:rsid w:val="00592C98"/>
    <w:rsid w:val="005C6639"/>
    <w:rsid w:val="005F6578"/>
    <w:rsid w:val="00604E7B"/>
    <w:rsid w:val="00634FED"/>
    <w:rsid w:val="006354EB"/>
    <w:rsid w:val="0066080B"/>
    <w:rsid w:val="006B3943"/>
    <w:rsid w:val="006D032A"/>
    <w:rsid w:val="006D1361"/>
    <w:rsid w:val="006E3BA4"/>
    <w:rsid w:val="00703B20"/>
    <w:rsid w:val="00706EC7"/>
    <w:rsid w:val="00713E3E"/>
    <w:rsid w:val="00717E1E"/>
    <w:rsid w:val="00754BCE"/>
    <w:rsid w:val="00771F5E"/>
    <w:rsid w:val="007937E2"/>
    <w:rsid w:val="007A2D6A"/>
    <w:rsid w:val="007B6AB4"/>
    <w:rsid w:val="007D0D7D"/>
    <w:rsid w:val="007D3763"/>
    <w:rsid w:val="007D73AC"/>
    <w:rsid w:val="007F0A21"/>
    <w:rsid w:val="00855EE0"/>
    <w:rsid w:val="00875038"/>
    <w:rsid w:val="00893A6A"/>
    <w:rsid w:val="008E1143"/>
    <w:rsid w:val="008E5985"/>
    <w:rsid w:val="008F6AF9"/>
    <w:rsid w:val="00905DE3"/>
    <w:rsid w:val="009245D4"/>
    <w:rsid w:val="009346D6"/>
    <w:rsid w:val="00951189"/>
    <w:rsid w:val="009537E3"/>
    <w:rsid w:val="00970614"/>
    <w:rsid w:val="00973C03"/>
    <w:rsid w:val="00993628"/>
    <w:rsid w:val="0099782B"/>
    <w:rsid w:val="009A422B"/>
    <w:rsid w:val="009B3139"/>
    <w:rsid w:val="009D664F"/>
    <w:rsid w:val="009F31DF"/>
    <w:rsid w:val="00A11435"/>
    <w:rsid w:val="00A20A84"/>
    <w:rsid w:val="00A9138A"/>
    <w:rsid w:val="00A96996"/>
    <w:rsid w:val="00AC5436"/>
    <w:rsid w:val="00AD4621"/>
    <w:rsid w:val="00AE6644"/>
    <w:rsid w:val="00AF2EC0"/>
    <w:rsid w:val="00B01D23"/>
    <w:rsid w:val="00B14B71"/>
    <w:rsid w:val="00B21E9C"/>
    <w:rsid w:val="00B23B82"/>
    <w:rsid w:val="00B74371"/>
    <w:rsid w:val="00B849F5"/>
    <w:rsid w:val="00BA4849"/>
    <w:rsid w:val="00BC0E64"/>
    <w:rsid w:val="00BC7E04"/>
    <w:rsid w:val="00BD47E0"/>
    <w:rsid w:val="00C11AEA"/>
    <w:rsid w:val="00C53819"/>
    <w:rsid w:val="00C54D5A"/>
    <w:rsid w:val="00C93120"/>
    <w:rsid w:val="00CA4095"/>
    <w:rsid w:val="00CA5560"/>
    <w:rsid w:val="00CB30FF"/>
    <w:rsid w:val="00CB6C6F"/>
    <w:rsid w:val="00CC67F2"/>
    <w:rsid w:val="00CD4C52"/>
    <w:rsid w:val="00D068D3"/>
    <w:rsid w:val="00D1537A"/>
    <w:rsid w:val="00D27E54"/>
    <w:rsid w:val="00D50B66"/>
    <w:rsid w:val="00D50F10"/>
    <w:rsid w:val="00D772F9"/>
    <w:rsid w:val="00D85496"/>
    <w:rsid w:val="00DA2249"/>
    <w:rsid w:val="00DA63C2"/>
    <w:rsid w:val="00E22FF5"/>
    <w:rsid w:val="00E57B03"/>
    <w:rsid w:val="00E6014D"/>
    <w:rsid w:val="00E82B40"/>
    <w:rsid w:val="00E876A6"/>
    <w:rsid w:val="00E92045"/>
    <w:rsid w:val="00EB53A6"/>
    <w:rsid w:val="00EC714F"/>
    <w:rsid w:val="00EE218B"/>
    <w:rsid w:val="00F07E04"/>
    <w:rsid w:val="00F53CE9"/>
    <w:rsid w:val="00F54721"/>
    <w:rsid w:val="00F614AB"/>
    <w:rsid w:val="00F64CEF"/>
    <w:rsid w:val="00F66D02"/>
    <w:rsid w:val="00FB43DA"/>
    <w:rsid w:val="00FC0460"/>
    <w:rsid w:val="00FC4D9D"/>
    <w:rsid w:val="00FD3BAD"/>
    <w:rsid w:val="02D816BE"/>
    <w:rsid w:val="03306240"/>
    <w:rsid w:val="03B4043D"/>
    <w:rsid w:val="04AA7F25"/>
    <w:rsid w:val="06B9765F"/>
    <w:rsid w:val="0ABA2055"/>
    <w:rsid w:val="0ADE225A"/>
    <w:rsid w:val="0C0937FB"/>
    <w:rsid w:val="0CC166AF"/>
    <w:rsid w:val="0E99593F"/>
    <w:rsid w:val="0F3E734C"/>
    <w:rsid w:val="10505346"/>
    <w:rsid w:val="11A951FB"/>
    <w:rsid w:val="11F3264A"/>
    <w:rsid w:val="13FA3A72"/>
    <w:rsid w:val="16706A94"/>
    <w:rsid w:val="19ED51C2"/>
    <w:rsid w:val="209B5FA0"/>
    <w:rsid w:val="226E2AB6"/>
    <w:rsid w:val="22D915E2"/>
    <w:rsid w:val="23A26879"/>
    <w:rsid w:val="265E6A29"/>
    <w:rsid w:val="268D550D"/>
    <w:rsid w:val="26946A3B"/>
    <w:rsid w:val="28C93762"/>
    <w:rsid w:val="29F672D5"/>
    <w:rsid w:val="2D4B578D"/>
    <w:rsid w:val="2ED41F4F"/>
    <w:rsid w:val="2FB21808"/>
    <w:rsid w:val="2FB60F10"/>
    <w:rsid w:val="32D10C89"/>
    <w:rsid w:val="33DC1BB8"/>
    <w:rsid w:val="358506DE"/>
    <w:rsid w:val="3674242C"/>
    <w:rsid w:val="370A3899"/>
    <w:rsid w:val="386A132D"/>
    <w:rsid w:val="39C373C2"/>
    <w:rsid w:val="3B3C2EF0"/>
    <w:rsid w:val="3BF07332"/>
    <w:rsid w:val="3FA467C6"/>
    <w:rsid w:val="41973E0B"/>
    <w:rsid w:val="423822F2"/>
    <w:rsid w:val="432B1FE8"/>
    <w:rsid w:val="461718E5"/>
    <w:rsid w:val="4759453C"/>
    <w:rsid w:val="47EC1AC1"/>
    <w:rsid w:val="480E34A1"/>
    <w:rsid w:val="49F1786B"/>
    <w:rsid w:val="4A917D45"/>
    <w:rsid w:val="4B67293B"/>
    <w:rsid w:val="4C01568E"/>
    <w:rsid w:val="4FD33033"/>
    <w:rsid w:val="511E0C81"/>
    <w:rsid w:val="529558E5"/>
    <w:rsid w:val="5706132A"/>
    <w:rsid w:val="574E07C7"/>
    <w:rsid w:val="57E56711"/>
    <w:rsid w:val="58ED413A"/>
    <w:rsid w:val="59D5522D"/>
    <w:rsid w:val="5BA54F00"/>
    <w:rsid w:val="5EE02E1C"/>
    <w:rsid w:val="63C5663F"/>
    <w:rsid w:val="64AF00ED"/>
    <w:rsid w:val="66922088"/>
    <w:rsid w:val="68723AFF"/>
    <w:rsid w:val="69497C68"/>
    <w:rsid w:val="6CBF28C3"/>
    <w:rsid w:val="6F575A47"/>
    <w:rsid w:val="726D4A58"/>
    <w:rsid w:val="72CD248B"/>
    <w:rsid w:val="73202179"/>
    <w:rsid w:val="732B11AC"/>
    <w:rsid w:val="74D220CA"/>
    <w:rsid w:val="762E42C7"/>
    <w:rsid w:val="777E0C9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table" w:styleId="5">
    <w:name w:val="Table Grid"/>
    <w:basedOn w:val="4"/>
    <w:qFormat/>
    <w:locke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FollowedHyperlink"/>
    <w:basedOn w:val="6"/>
    <w:qFormat/>
    <w:uiPriority w:val="99"/>
    <w:rPr>
      <w:color w:val="800080"/>
      <w:u w:val="single"/>
    </w:rPr>
  </w:style>
  <w:style w:type="character" w:styleId="8">
    <w:name w:val="Hyperlink"/>
    <w:basedOn w:val="6"/>
    <w:qFormat/>
    <w:uiPriority w:val="99"/>
    <w:rPr>
      <w:color w:val="0000FF"/>
      <w:u w:val="single"/>
    </w:rPr>
  </w:style>
  <w:style w:type="character" w:customStyle="1" w:styleId="9">
    <w:name w:val="页脚 Char"/>
    <w:basedOn w:val="6"/>
    <w:link w:val="2"/>
    <w:semiHidden/>
    <w:qFormat/>
    <w:locked/>
    <w:uiPriority w:val="99"/>
    <w:rPr>
      <w:sz w:val="18"/>
      <w:szCs w:val="18"/>
    </w:rPr>
  </w:style>
  <w:style w:type="character" w:customStyle="1" w:styleId="10">
    <w:name w:val="页眉 Char"/>
    <w:basedOn w:val="6"/>
    <w:link w:val="3"/>
    <w:semiHidden/>
    <w:qFormat/>
    <w:locked/>
    <w:uiPriority w:val="99"/>
    <w:rPr>
      <w:sz w:val="18"/>
      <w:szCs w:val="18"/>
    </w:rPr>
  </w:style>
  <w:style w:type="paragraph" w:customStyle="1" w:styleId="11">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2">
    <w:name w:val="xl63"/>
    <w:basedOn w:val="1"/>
    <w:qFormat/>
    <w:uiPriority w:val="99"/>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13">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14">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5">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6">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7">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8">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9">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0">
    <w:name w:val="xl7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21">
    <w:name w:val="xl72"/>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22">
    <w:name w:val="xl73"/>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32"/>
      <w:szCs w:val="32"/>
    </w:rPr>
  </w:style>
  <w:style w:type="character" w:customStyle="1" w:styleId="23">
    <w:name w:val="font11"/>
    <w:basedOn w:val="6"/>
    <w:qFormat/>
    <w:uiPriority w:val="99"/>
    <w:rPr>
      <w:rFonts w:ascii="宋体" w:hAnsi="宋体" w:eastAsia="宋体" w:cs="宋体"/>
      <w:color w:val="000000"/>
      <w:sz w:val="24"/>
      <w:szCs w:val="24"/>
      <w:u w:val="none"/>
    </w:rPr>
  </w:style>
  <w:style w:type="character" w:customStyle="1" w:styleId="24">
    <w:name w:val="font01"/>
    <w:basedOn w:val="6"/>
    <w:qFormat/>
    <w:uiPriority w:val="99"/>
    <w:rPr>
      <w:rFonts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SkyUN.Org</Company>
  <Pages>2</Pages>
  <Words>95</Words>
  <Characters>546</Characters>
  <Lines>4</Lines>
  <Paragraphs>1</Paragraphs>
  <TotalTime>4</TotalTime>
  <ScaleCrop>false</ScaleCrop>
  <LinksUpToDate>false</LinksUpToDate>
  <CharactersWithSpaces>640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2016-07-27T06:11:00Z</dcterms:created>
  <dc:creator>Administrator</dc:creator>
  <cp:lastModifiedBy>N</cp:lastModifiedBy>
  <cp:lastPrinted>2016-10-26T14:38:00Z</cp:lastPrinted>
  <dcterms:modified xsi:type="dcterms:W3CDTF">2020-10-30T02:13:23Z</dcterms:modified>
  <dc:title>估价机构资质申报延续网上公示表</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