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附件：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</w:rPr>
        <w:t>济宁市住房城乡建设系统“双随机、一公开”监管随机抽查事项清单</w:t>
      </w:r>
    </w:p>
    <w:bookmarkEnd w:id="0"/>
    <w:tbl>
      <w:tblPr>
        <w:tblStyle w:val="4"/>
        <w:tblW w:w="12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4108"/>
        <w:gridCol w:w="2835"/>
        <w:gridCol w:w="1500"/>
        <w:gridCol w:w="1455"/>
        <w:gridCol w:w="21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抽查比例及频次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对注册建筑师执业资格制度落实情况的检查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注册建筑师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全年抽查比例不低于5%，抽查频次根据监管需要确定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对注册建造师执业资格制度落实情况的检查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注册建造师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对勘察设计注册工程师执业资格制度落实情况的检查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勘察设计注册工程师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对注册监理工程师执业资格制度落实情况的检查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注册监理工程师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对注册造价工程师执业资格制度落实情况的检查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注册造价工程师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对注册房地产估价师执业资格制度落实情况的检查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注册房地产估价师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对物业管理活动的监督检查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物业服务企业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、开发建设单位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现场检查、网络检查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全年抽查比例不低于5%，抽查频次1次/年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建筑节能与绿色建筑、装配式建筑实施情况检查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民用建筑节能单位、施工单位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书面检查、现场检查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当年竣工、在建项目抽查比例不低于5%，频次不低于1次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对勘察设计市场行为与资质的监督检查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工程勘察设计企业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现场检查、书面检查、网络检查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全年抽查比例5%，每年抽查1次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对勘察、设计活动的监督检查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建设单位、勘察设计单位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施工图设计文件审查机构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全年抽查比例15%，每年抽查1次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对房屋建筑和市政工程抗震设防监督检查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超限审查委员会，建设单位、勘察单位、设计单位、施工图审查机构等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全年抽查比例5%，每年抽查1次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对历史文化名城名镇名村保护的监督检查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省内国家级和省级历史文化名城、名镇、名村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全年抽查历史文化名城比例20%，历史文化名镇、名村比例10%，每年抽查1次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对历史文化名城、名镇、名村保护规划实施情况的监督检查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省内国家级和省级历史文化名城、名镇、名村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对建筑市场行为的监督检查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在建工程的建设单位、施工企业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每个月随机抽查不少于5%的项目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对房屋建筑和市政工程项目颁发施工许可证后的监督检查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在建工程的施工企业、监理企业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对建筑领域农民工工资支付和清欠各项制度落实的监督检查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在建建筑工程的建设单位、施工企业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对建筑业企业监督检查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注册的建筑业、工程监理和工程造价企业、招标代理机构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实地核查、书面检查和网络监测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全年抽查比例不低于5%，各市根据实际情况确定各市根据实际情况确定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对城乡建设档案和地下管线工程档案管理工作进行监督检查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市、县城建档案工作管理部门，工程项目建设单位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现场检查、网络检查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全年抽查比例不低于5%，抽查频次1次/年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各类工程建设标准、定额实施的监督检查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工程建设活动中各方主体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全年抽查比例不低于5%，抽查频次根据监管需要确定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对工程造价咨询企业执业情况监督检查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工程造价咨询企业、专职专业人员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现场检查、网络检查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对工程造价计价（活动）的监督检查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工程建设活动中各方主体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招标控制价备案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工程建设方主体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竣工结算文件备案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工程建设方主体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对建设工程质量强制性标准执行情况的监督检查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工程建设活动中各方主体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对房地产开发企业的监督检查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房地产开发企业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资料审查、现场检查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对房地产中介机构的监督检查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房地产估价机构、房地产经纪机构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资料审查、现场检查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全年抽查比例不低于5%，抽查频次1次/年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供热行业监督检查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供热单位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现场检查、书面检查、网络检查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城镇燃气经营使用安全监督检查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城镇燃气经营单位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531" w:right="2041" w:bottom="1474" w:left="1928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8681F"/>
    <w:rsid w:val="2188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2020-01-15T06:36:00Z</dcterms:created>
  <dc:creator>尼古拉斯·G</dc:creator>
  <cp:lastModifiedBy>尼古拉斯·G</cp:lastModifiedBy>
  <dcterms:modified xsi:type="dcterms:W3CDTF">2020-01-15T06:39:25Z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