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pStyle w:val="2"/>
        <w:rPr>
          <w:color w:val="auto"/>
        </w:rPr>
      </w:pPr>
    </w:p>
    <w:p>
      <w:pPr>
        <w:widowControl/>
        <w:spacing w:line="560" w:lineRule="exact"/>
        <w:jc w:val="center"/>
        <w:rPr>
          <w:rFonts w:ascii="方正小标宋简体" w:hAnsi="仿宋" w:eastAsia="方正小标宋简体" w:cs="宋体"/>
          <w:b/>
          <w:bCs/>
          <w:color w:val="auto"/>
          <w:kern w:val="0"/>
          <w:sz w:val="44"/>
          <w:szCs w:val="44"/>
        </w:rPr>
      </w:pPr>
      <w:r>
        <w:rPr>
          <w:rFonts w:hint="eastAsia" w:ascii="方正小标宋简体" w:hAnsi="仿宋" w:eastAsia="方正小标宋简体" w:cs="宋体"/>
          <w:b/>
          <w:bCs/>
          <w:color w:val="auto"/>
          <w:kern w:val="0"/>
          <w:sz w:val="44"/>
          <w:szCs w:val="44"/>
        </w:rPr>
        <w:t>济宁市物业服务企业信用信息管理办法</w:t>
      </w:r>
    </w:p>
    <w:p>
      <w:pPr>
        <w:widowControl/>
        <w:spacing w:line="560" w:lineRule="exact"/>
        <w:jc w:val="center"/>
        <w:rPr>
          <w:rFonts w:ascii="方正小标宋简体" w:hAnsi="仿宋" w:eastAsia="方正小标宋简体" w:cs="宋体"/>
          <w:b/>
          <w:bCs/>
          <w:color w:val="auto"/>
          <w:kern w:val="0"/>
          <w:sz w:val="36"/>
          <w:szCs w:val="36"/>
        </w:rPr>
      </w:pPr>
      <w:r>
        <w:rPr>
          <w:rFonts w:hint="eastAsia" w:ascii="方正小标宋简体" w:hAnsi="仿宋" w:eastAsia="方正小标宋简体" w:cs="宋体"/>
          <w:b/>
          <w:bCs/>
          <w:color w:val="auto"/>
          <w:kern w:val="0"/>
          <w:sz w:val="36"/>
          <w:szCs w:val="36"/>
        </w:rPr>
        <w:t>（修订征求意见稿）</w:t>
      </w:r>
    </w:p>
    <w:p>
      <w:pPr>
        <w:spacing w:line="560" w:lineRule="exact"/>
        <w:ind w:firstLine="408"/>
        <w:rPr>
          <w:rFonts w:ascii="仿宋_GB2312" w:hAnsi="微软雅黑" w:eastAsia="仿宋_GB2312" w:cs="宋体"/>
          <w:b/>
          <w:bCs/>
          <w:color w:val="auto"/>
          <w:kern w:val="0"/>
          <w:sz w:val="32"/>
          <w:szCs w:val="32"/>
        </w:rPr>
      </w:pPr>
    </w:p>
    <w:p>
      <w:pPr>
        <w:spacing w:line="560" w:lineRule="exact"/>
        <w:jc w:val="center"/>
        <w:rPr>
          <w:rFonts w:hint="eastAsia" w:ascii="黑体" w:hAnsi="黑体" w:eastAsia="黑体" w:cs="方正小标宋简体"/>
          <w:b/>
          <w:bCs/>
          <w:color w:val="auto"/>
          <w:kern w:val="0"/>
          <w:sz w:val="36"/>
          <w:szCs w:val="36"/>
        </w:rPr>
      </w:pPr>
      <w:bookmarkStart w:id="2" w:name="_GoBack"/>
      <w:bookmarkEnd w:id="2"/>
    </w:p>
    <w:p>
      <w:pPr>
        <w:spacing w:line="560" w:lineRule="exact"/>
        <w:jc w:val="center"/>
        <w:rPr>
          <w:rFonts w:ascii="黑体" w:hAnsi="黑体" w:eastAsia="黑体" w:cs="方正小标宋简体"/>
          <w:b/>
          <w:bCs/>
          <w:color w:val="auto"/>
          <w:kern w:val="0"/>
          <w:sz w:val="36"/>
          <w:szCs w:val="36"/>
        </w:rPr>
      </w:pPr>
      <w:r>
        <w:rPr>
          <w:rFonts w:hint="eastAsia" w:ascii="黑体" w:hAnsi="黑体" w:eastAsia="黑体" w:cs="方正小标宋简体"/>
          <w:b/>
          <w:bCs/>
          <w:color w:val="auto"/>
          <w:kern w:val="0"/>
          <w:sz w:val="36"/>
          <w:szCs w:val="36"/>
        </w:rPr>
        <w:t>第一章　总　则</w:t>
      </w:r>
    </w:p>
    <w:p>
      <w:pPr>
        <w:spacing w:line="560" w:lineRule="exact"/>
        <w:rPr>
          <w:rFonts w:ascii="黑体" w:hAnsi="黑体" w:eastAsia="黑体" w:cs="宋体"/>
          <w:b/>
          <w:bCs/>
          <w:color w:val="auto"/>
          <w:kern w:val="0"/>
          <w:sz w:val="36"/>
          <w:szCs w:val="36"/>
        </w:rPr>
      </w:pPr>
    </w:p>
    <w:p>
      <w:pPr>
        <w:spacing w:line="560" w:lineRule="exact"/>
        <w:ind w:firstLine="643" w:firstLineChars="200"/>
        <w:rPr>
          <w:rFonts w:ascii="仿宋" w:hAnsi="仿宋" w:eastAsia="仿宋" w:cs="宋体"/>
          <w:b/>
          <w:bCs/>
          <w:color w:val="auto"/>
          <w:kern w:val="0"/>
          <w:sz w:val="32"/>
          <w:szCs w:val="32"/>
        </w:rPr>
      </w:pPr>
      <w:bookmarkStart w:id="0" w:name="_Hlk157545238"/>
      <w:r>
        <w:rPr>
          <w:rFonts w:hint="eastAsia" w:ascii="黑体" w:hAnsi="黑体" w:eastAsia="黑体" w:cs="宋体"/>
          <w:b/>
          <w:bCs/>
          <w:color w:val="auto"/>
          <w:kern w:val="0"/>
          <w:sz w:val="32"/>
          <w:szCs w:val="32"/>
        </w:rPr>
        <w:t>第一条</w:t>
      </w:r>
      <w:r>
        <w:rPr>
          <w:rFonts w:hint="eastAsia" w:ascii="仿宋" w:hAnsi="仿宋" w:eastAsia="仿宋" w:cs="宋体"/>
          <w:b/>
          <w:bCs/>
          <w:color w:val="auto"/>
          <w:kern w:val="0"/>
          <w:sz w:val="32"/>
          <w:szCs w:val="32"/>
        </w:rPr>
        <w:t>　为推进物业服务行业信用体系建设，促进物业服务企业诚信自律，构建以信用为基础的新型监管机制，根据《中华人民共和国民法典》《企业信息公示暂行条例》《国务院关于建立完善守信联合激励和失信联合惩戒机制加快推进社会诚信建设的指导意见》《山东省物业管理条例》《山东省物业服务企业信用信息管理办法》等有关法律法规政策规定，结合我市实际，制定本办法。</w:t>
      </w:r>
    </w:p>
    <w:bookmarkEnd w:id="0"/>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第二条</w:t>
      </w:r>
      <w:r>
        <w:rPr>
          <w:rFonts w:hint="eastAsia" w:ascii="仿宋" w:hAnsi="仿宋" w:eastAsia="仿宋" w:cs="宋体"/>
          <w:b/>
          <w:bCs/>
          <w:color w:val="auto"/>
          <w:kern w:val="0"/>
          <w:sz w:val="32"/>
          <w:szCs w:val="32"/>
        </w:rPr>
        <w:t>　本办法所称信用信息是物业服务行业信用信息，是指物业服务企业及其人员（包括企业法定代表人、企业分管生产安全的负责人、项目负责人、项目安全员等）在我市行政区域内开展物业服务活动过程中产生的，反映其信用状况的数据和资料。</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第三</w:t>
      </w:r>
      <w:r>
        <w:rPr>
          <w:rFonts w:hint="eastAsia" w:ascii="黑体" w:hAnsi="黑体" w:eastAsia="黑体" w:cs="宋体"/>
          <w:b/>
          <w:bCs/>
          <w:color w:val="auto"/>
          <w:kern w:val="0"/>
          <w:sz w:val="32"/>
          <w:szCs w:val="32"/>
          <w:lang w:eastAsia="zh-CN"/>
        </w:rPr>
        <w:t>条　</w:t>
      </w:r>
      <w:r>
        <w:rPr>
          <w:rFonts w:hint="eastAsia" w:ascii="仿宋" w:hAnsi="仿宋" w:eastAsia="仿宋" w:cs="宋体"/>
          <w:b/>
          <w:bCs/>
          <w:color w:val="auto"/>
          <w:kern w:val="0"/>
          <w:sz w:val="32"/>
          <w:szCs w:val="32"/>
        </w:rPr>
        <w:t>在我市行政区域内从事物业服务活动的企业及其人员的信用信息管理，适用本办法。</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般以独立法人为单位实施信用信息管理。本地物业服务企业有分支机构的，统一纳入设立该分支机构的企业实施信用信息管理；外地物业服务企业在我市设立分支机构的，以在我市设立的分支机构为单位实施信用信息管理。</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企业跨县（市、区）（含功能区，下同）经营的，由企业工商注册地县（市、区）物业主管部门负责企业信用信息的管理工作。在工商注册地之外的物业服务项目，由项目所在地县（市、区）物业主管部门负责项目信息管理工作，并通过济宁市物业服务信用信息管理系统（以下简称“市物业信用系统”）推送到企业工商注册地县（市、区）物业主管部门。</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第四条</w:t>
      </w:r>
      <w:r>
        <w:rPr>
          <w:rFonts w:hint="eastAsia" w:ascii="仿宋" w:hAnsi="仿宋" w:eastAsia="仿宋" w:cs="宋体"/>
          <w:b/>
          <w:bCs/>
          <w:color w:val="auto"/>
          <w:kern w:val="0"/>
          <w:sz w:val="32"/>
          <w:szCs w:val="32"/>
        </w:rPr>
        <w:t>　市物业信用系统实现物业服务企业信用信息的归集、认定、推送、公示，以及生成物业服务企业信用等级、出具信用等级证明等功能。</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第五</w:t>
      </w:r>
      <w:r>
        <w:rPr>
          <w:rFonts w:hint="eastAsia" w:ascii="黑体" w:hAnsi="黑体" w:eastAsia="黑体" w:cs="宋体"/>
          <w:b/>
          <w:bCs/>
          <w:color w:val="auto"/>
          <w:kern w:val="0"/>
          <w:sz w:val="32"/>
          <w:szCs w:val="32"/>
          <w:lang w:eastAsia="zh-CN"/>
        </w:rPr>
        <w:t>条　</w:t>
      </w:r>
      <w:r>
        <w:rPr>
          <w:rFonts w:hint="eastAsia" w:ascii="仿宋" w:hAnsi="仿宋" w:eastAsia="仿宋" w:cs="宋体"/>
          <w:b/>
          <w:bCs/>
          <w:color w:val="auto"/>
          <w:kern w:val="0"/>
          <w:sz w:val="32"/>
          <w:szCs w:val="32"/>
        </w:rPr>
        <w:t>市住房城乡建设局负责拟定全市物业服务行业发展政策、规章制度、信用信息管理办法并监督实施。</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市住房保障和房地产发展事务中心承担全市物业服务市场监督管理相关事务性工作，参与制定物业服务企业信用评价办法，承担全市物业服务企业的信用评价事务性工作和市物业信用系统建设、管理、维护工作。信用信息的审核工作。</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县（市、区）物业主管部门负责本行政区域内物业服务企业信用信息的归集、推送、审核、认定、使用和日常维护等管理工作。</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街道办事处（乡镇人民政府）、社区居民委员会（社区环境和物业管理委员会）按照各自职责，负责本辖区内物业服务企业和物业服务项目有关信用信息的归集、初审、推送等工作。</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物业服务行业协会应加强行业自律管理，负责行业自律信息的归集、推送，并可接受物业主管部门的委托，负责编写行业信用报告等工作。</w:t>
      </w:r>
    </w:p>
    <w:p>
      <w:pPr>
        <w:spacing w:line="560" w:lineRule="exact"/>
        <w:jc w:val="center"/>
        <w:rPr>
          <w:rFonts w:ascii="方正小标宋简体" w:hAnsi="方正小标宋简体" w:eastAsia="方正小标宋简体" w:cs="方正小标宋简体"/>
          <w:b/>
          <w:bCs/>
          <w:color w:val="auto"/>
          <w:kern w:val="0"/>
          <w:sz w:val="36"/>
          <w:szCs w:val="36"/>
        </w:rPr>
      </w:pPr>
    </w:p>
    <w:p>
      <w:pPr>
        <w:spacing w:line="560" w:lineRule="exact"/>
        <w:jc w:val="center"/>
        <w:rPr>
          <w:rFonts w:ascii="黑体" w:hAnsi="黑体" w:eastAsia="黑体" w:cs="方正小标宋简体"/>
          <w:b/>
          <w:bCs/>
          <w:color w:val="auto"/>
          <w:kern w:val="0"/>
          <w:sz w:val="36"/>
          <w:szCs w:val="36"/>
        </w:rPr>
      </w:pPr>
      <w:r>
        <w:rPr>
          <w:rFonts w:hint="eastAsia" w:ascii="黑体" w:hAnsi="黑体" w:eastAsia="黑体" w:cs="方正小标宋简体"/>
          <w:b/>
          <w:bCs/>
          <w:color w:val="auto"/>
          <w:kern w:val="0"/>
          <w:sz w:val="36"/>
          <w:szCs w:val="36"/>
        </w:rPr>
        <w:t>第二章　信用信息的归集、认定和发布</w:t>
      </w:r>
    </w:p>
    <w:p>
      <w:pPr>
        <w:spacing w:line="560" w:lineRule="exact"/>
        <w:rPr>
          <w:rFonts w:ascii="黑体" w:hAnsi="黑体" w:eastAsia="黑体" w:cs="宋体"/>
          <w:b/>
          <w:bCs/>
          <w:color w:val="auto"/>
          <w:kern w:val="0"/>
          <w:sz w:val="36"/>
          <w:szCs w:val="36"/>
        </w:rPr>
      </w:pPr>
    </w:p>
    <w:p>
      <w:pPr>
        <w:spacing w:line="560" w:lineRule="exact"/>
        <w:ind w:firstLine="851" w:firstLineChars="265"/>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第六</w:t>
      </w:r>
      <w:r>
        <w:rPr>
          <w:rFonts w:hint="eastAsia" w:ascii="黑体" w:hAnsi="黑体" w:eastAsia="黑体" w:cs="宋体"/>
          <w:b/>
          <w:bCs/>
          <w:color w:val="auto"/>
          <w:kern w:val="0"/>
          <w:sz w:val="32"/>
          <w:szCs w:val="32"/>
          <w:lang w:eastAsia="zh-CN"/>
        </w:rPr>
        <w:t>条　</w:t>
      </w:r>
      <w:r>
        <w:rPr>
          <w:rFonts w:hint="eastAsia" w:ascii="仿宋" w:hAnsi="仿宋" w:eastAsia="仿宋" w:cs="宋体"/>
          <w:b/>
          <w:bCs/>
          <w:color w:val="auto"/>
          <w:kern w:val="0"/>
          <w:sz w:val="32"/>
          <w:szCs w:val="32"/>
        </w:rPr>
        <w:t>信用信息包括企业基础信息和评级信息。企业基础信息，主要包括企业注册信息、人员信息等反映企业基本状况的信息，作为信用评级的前提和基础。评级信息主要包括项目绩效信用信息（甲类）、企业优良信用信息（乙类）和企业不良信用信息（丙类）。</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项目绩效信用信息（甲类）。分为住宅项目绩效信用信息、非住宅项目绩效信用信息。住宅项目绩效信用信息主要包括物业服务项目的红色物业建设、项目服务质量、物业主管部门的考核考评、街道社区监督管理的信息。非住宅项目绩效信用信息主要包括承接查验与服务合同签订、项目服务质量、项目创新创优降本增效的信息。</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企业优良信用信息（乙类）。主要包括物业服务企业运营管理、获得各级荣誉、对社会和行业贡献等反映物业服务企业综合工作的信息。其中企业运营管理包含企业党建、诚信经营、服务规模、人员持证、品质管理、拓展服务、行标制定、行业自律；各级荣誉包含企业及个人荣誉、物业项目创优、行业竞赛成绩；社会和行业贡献包含履行社会责任和树立行业标杆。</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（三）企业不良信用信息（丙类）。主要包括物业服务企业在从事物业服务活动中拒不配合物业主管部门和街道社区监管，违反法律法规政策规定，破坏市场秩序等对其信用状况构成负面影响的信息。</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信用信息的具体条目，在市物业信用系统中设置。</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第七</w:t>
      </w:r>
      <w:r>
        <w:rPr>
          <w:rFonts w:hint="eastAsia" w:ascii="黑体" w:hAnsi="黑体" w:eastAsia="黑体" w:cs="宋体"/>
          <w:b/>
          <w:bCs/>
          <w:color w:val="auto"/>
          <w:kern w:val="0"/>
          <w:sz w:val="32"/>
          <w:szCs w:val="32"/>
          <w:lang w:eastAsia="zh-CN"/>
        </w:rPr>
        <w:t>条　</w:t>
      </w:r>
      <w:r>
        <w:rPr>
          <w:rFonts w:hint="eastAsia" w:ascii="仿宋" w:hAnsi="仿宋" w:eastAsia="仿宋" w:cs="宋体"/>
          <w:b/>
          <w:bCs/>
          <w:color w:val="auto"/>
          <w:kern w:val="0"/>
          <w:sz w:val="32"/>
          <w:szCs w:val="32"/>
        </w:rPr>
        <w:t>物业服务企业、人员的信用信息，一般由信息产生地县（市、区）物业主管部门负责归集、认定、确认。归集方式包括企业诚信申报、系统自动采集、物业主管部门或街道社区主动采集和相关职能部门或行业协会推送，信息审核应在5个工作日内完成。</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物业服务企业对所提供和申报信用信息材料的真实性、</w:t>
      </w:r>
    </w:p>
    <w:p>
      <w:pPr>
        <w:spacing w:line="560" w:lineRule="exac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完整性负责。物业管理主管部门发现申报信息有误的，应当要求申报单位予以纠正。对物业服务企业提供虚假信用信息材料的，按虚假信用信息所取得的信用得分双倍扣减。</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企业注册信息、从业人员信息，由企业工商注册地县（市、区）物业主管部门负责归集、认定；外市物业服务企业未在我市设立分支机构的，由该企业在我市承接的首个物业服务项目所在地县（市、区）物业主管部门负责归集、认定。</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第八条</w:t>
      </w:r>
      <w:r>
        <w:rPr>
          <w:rFonts w:hint="eastAsia" w:ascii="仿宋" w:hAnsi="仿宋" w:eastAsia="仿宋" w:cs="宋体"/>
          <w:b/>
          <w:bCs/>
          <w:color w:val="auto"/>
          <w:kern w:val="0"/>
          <w:sz w:val="32"/>
          <w:szCs w:val="32"/>
        </w:rPr>
        <w:t>　项目绩效信用信息（甲类）归集。由物业服务企业录入、上传证明材料；物业服务项目所在地县级人民政府物业管理主管部门会同街道办事处（乡镇人民政府）、社区居民委员会（社区环境和物业管理委员会）根据对项目日常工作开展情况的监督管理确认，并在信用信息产生的15个工作日内通过市物业信用系统录入。</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县（市、区）物业主管部门、街道办事处（乡镇人民政府）、社区居民委员会（社区环境和物业管理委员会）原则上只对实行全委托管理的住宅项目归集绩效信用信息。其他项目确需归集的，由县（市、区）物业主管部门或街道办事处（乡镇人民政府）认定后实施归集。</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第九条</w:t>
      </w:r>
      <w:r>
        <w:rPr>
          <w:rFonts w:hint="eastAsia" w:ascii="仿宋" w:hAnsi="仿宋" w:eastAsia="仿宋" w:cs="宋体"/>
          <w:b/>
          <w:bCs/>
          <w:color w:val="auto"/>
          <w:kern w:val="0"/>
          <w:sz w:val="32"/>
          <w:szCs w:val="32"/>
        </w:rPr>
        <w:t>　企业优良信用信息（乙类）归集。企业优良信用信息（乙类）实行动态管理，基础信用信息产生或变更的，物业服务企业应当于30日内通过市物业信用系统填报变更信用信息。新设立的物业服务企业，应当自签订物业服务合同之日起30个工作日内，在市物业信用系统及时、完整、准确填报企业基础信息等有关信用信息。</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县（市、区）物业主管部门、街道办事处（乡镇人民政府）、社区居民委员会（社区环境和物业管理委员会）也可以根据自行掌握、行业协会推送以及信息共享获取的信用信息，直接录入市物业信用系统。</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第十</w:t>
      </w:r>
      <w:r>
        <w:rPr>
          <w:rFonts w:hint="eastAsia" w:ascii="黑体" w:hAnsi="黑体" w:eastAsia="黑体" w:cs="宋体"/>
          <w:b/>
          <w:bCs/>
          <w:color w:val="auto"/>
          <w:kern w:val="0"/>
          <w:sz w:val="32"/>
          <w:szCs w:val="32"/>
          <w:lang w:eastAsia="zh-CN"/>
        </w:rPr>
        <w:t>条　</w:t>
      </w:r>
      <w:r>
        <w:rPr>
          <w:rFonts w:hint="eastAsia" w:ascii="仿宋" w:hAnsi="仿宋" w:eastAsia="仿宋" w:cs="宋体"/>
          <w:b/>
          <w:bCs/>
          <w:color w:val="auto"/>
          <w:kern w:val="0"/>
          <w:sz w:val="32"/>
          <w:szCs w:val="32"/>
        </w:rPr>
        <w:t>企业不良信用信息（丙类）归集。县（市、区）物业主管部门应于企业不良信用信息产生15个工作日内，将自行掌握或其他单位主动推送的信用信息认定，录入市物业信用系统，并通过市物业信用系统通知相关物业服务企业，确认不良信用信息情况。需要与其他单位通过共享方式获取的信息，尚未实现实时共享的，共享频次原则上不低于每季度一次。鼓励物业服务企业主动录入企业不良信用信息。依据行政处罚决定书、人民法院或仲裁机构等出具的生效法律文书等产生的不良信用信息，不需要通知物业服务企业，直接认定。</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物业服务企业对不良信用信息有异议的，应在收到通知后15个工作日内向县（市、区）物业主管部门提交书面异议申请，并提供相应证据，逾期视为认可。</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县（市、区）物业主管部门在收到异议申请后，应于</w:t>
      </w:r>
      <w:r>
        <w:rPr>
          <w:rFonts w:ascii="仿宋" w:hAnsi="仿宋" w:eastAsia="仿宋" w:cs="宋体"/>
          <w:b/>
          <w:bCs/>
          <w:color w:val="auto"/>
          <w:kern w:val="0"/>
          <w:sz w:val="32"/>
          <w:szCs w:val="32"/>
        </w:rPr>
        <w:t>5</w:t>
      </w:r>
      <w:r>
        <w:rPr>
          <w:rFonts w:hint="eastAsia" w:ascii="仿宋" w:hAnsi="仿宋" w:eastAsia="仿宋" w:cs="宋体"/>
          <w:b/>
          <w:bCs/>
          <w:color w:val="auto"/>
          <w:kern w:val="0"/>
          <w:sz w:val="32"/>
          <w:szCs w:val="32"/>
        </w:rPr>
        <w:t>个工作日内作出是否采纳的决定，并通过市物业信用系统及时告知物业服务企业。</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第十一条</w:t>
      </w:r>
      <w:r>
        <w:rPr>
          <w:rFonts w:hint="eastAsia" w:ascii="仿宋" w:hAnsi="仿宋" w:eastAsia="仿宋" w:cs="宋体"/>
          <w:b/>
          <w:bCs/>
          <w:color w:val="auto"/>
          <w:kern w:val="0"/>
          <w:sz w:val="32"/>
          <w:szCs w:val="32"/>
        </w:rPr>
        <w:t>　因企业实际情况发生变化，或者认定企业优良信用信息（乙类）、企业不良信用信息（丙类）所依据的行政决定、判决、裁定等被撤销或者变更等情形，导致信用信息发生变化的，县（市、区）物业主管部门核实后应当及时变更或删除信用信息。</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第十二条</w:t>
      </w:r>
      <w:r>
        <w:rPr>
          <w:rFonts w:hint="eastAsia" w:ascii="仿宋" w:hAnsi="仿宋" w:eastAsia="仿宋" w:cs="宋体"/>
          <w:b/>
          <w:bCs/>
          <w:color w:val="auto"/>
          <w:kern w:val="0"/>
          <w:sz w:val="32"/>
          <w:szCs w:val="32"/>
        </w:rPr>
        <w:t>　物业服务企业信用信息公布期限如下：</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企业优良信用信息（乙类）中表彰奖励类信息原则上按照信息的有效时限公开，没有有效时限的，自信息产生之日起计算公开期限为三年（省级及以上奖项或荣誉无有效期限的，长期公布）。物业服务企业未注销前，其他依法可以公开的企业优良信用信息（乙类）长期公布。</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（二）企业不良信用信息（丙类）公示期限为三年，自处罚执行完毕或失信行为整改完成之日起计算，企业完成信用修复的，公示期限按有关规定缩短。</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（三）法律、法规、规章另有规定的，从其规定。</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第十三条</w:t>
      </w:r>
      <w:r>
        <w:rPr>
          <w:rFonts w:hint="eastAsia" w:ascii="仿宋" w:hAnsi="仿宋" w:eastAsia="仿宋" w:cs="宋体"/>
          <w:b/>
          <w:bCs/>
          <w:color w:val="auto"/>
          <w:kern w:val="0"/>
          <w:sz w:val="32"/>
          <w:szCs w:val="32"/>
        </w:rPr>
        <w:t>　县级物业主管部门应当加强与本级自然资源和规划、城管执法、公安、审计、市场监管、应急管理、消防、法院、税务、人民银行、金融机构、行业协会等相关部门单位以及街道办事处（乡镇人民政府）、社区居民委员会（社区环境和物业管理委员会）之间的互联互动，依法共享本辖区内物业服务企业的信用信息，实行守信联合激励、失信联合惩戒。物业主管部门</w:t>
      </w:r>
      <w:r>
        <w:rPr>
          <w:rFonts w:ascii="仿宋" w:hAnsi="仿宋" w:eastAsia="仿宋" w:cs="宋体"/>
          <w:b/>
          <w:bCs/>
          <w:color w:val="auto"/>
          <w:kern w:val="0"/>
          <w:sz w:val="32"/>
          <w:szCs w:val="32"/>
        </w:rPr>
        <w:t>能够通过共享获取或核验的信用信息，不得要求物业服务企业重复提交。</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有严重失信行为造成恶劣影响的，列入济宁市物业服务企业黑榜，并根据有关规定公示，黑榜有效期为6个月。企业纠正失信行为，履行相关义务，经主管部门同意的可从黑榜撤除。</w:t>
      </w:r>
    </w:p>
    <w:p>
      <w:pPr>
        <w:spacing w:line="560" w:lineRule="exact"/>
        <w:ind w:firstLine="643" w:firstLineChars="200"/>
        <w:rPr>
          <w:rFonts w:ascii="黑体" w:hAnsi="黑体" w:eastAsia="黑体" w:cs="宋体"/>
          <w:b/>
          <w:bCs/>
          <w:color w:val="auto"/>
          <w:kern w:val="0"/>
          <w:sz w:val="32"/>
          <w:szCs w:val="32"/>
        </w:rPr>
      </w:pPr>
    </w:p>
    <w:p>
      <w:pPr>
        <w:spacing w:line="560" w:lineRule="exact"/>
        <w:jc w:val="center"/>
        <w:rPr>
          <w:rFonts w:ascii="黑体" w:hAnsi="黑体" w:eastAsia="黑体" w:cs="方正小标宋简体"/>
          <w:b/>
          <w:bCs/>
          <w:color w:val="auto"/>
          <w:kern w:val="0"/>
          <w:sz w:val="36"/>
          <w:szCs w:val="36"/>
        </w:rPr>
      </w:pPr>
      <w:r>
        <w:rPr>
          <w:rFonts w:hint="eastAsia" w:ascii="黑体" w:hAnsi="黑体" w:eastAsia="黑体" w:cs="方正小标宋简体"/>
          <w:b/>
          <w:bCs/>
          <w:color w:val="auto"/>
          <w:kern w:val="0"/>
          <w:sz w:val="36"/>
          <w:szCs w:val="36"/>
        </w:rPr>
        <w:t>第三章　信用评级</w:t>
      </w:r>
    </w:p>
    <w:p>
      <w:pPr>
        <w:spacing w:line="560" w:lineRule="exact"/>
        <w:rPr>
          <w:rFonts w:ascii="黑体" w:hAnsi="黑体" w:eastAsia="黑体" w:cs="宋体"/>
          <w:b/>
          <w:bCs/>
          <w:color w:val="auto"/>
          <w:kern w:val="0"/>
          <w:sz w:val="36"/>
          <w:szCs w:val="36"/>
        </w:rPr>
      </w:pP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第十四条</w:t>
      </w:r>
      <w:r>
        <w:rPr>
          <w:rFonts w:hint="eastAsia" w:ascii="仿宋" w:hAnsi="仿宋" w:eastAsia="仿宋" w:cs="宋体"/>
          <w:b/>
          <w:bCs/>
          <w:color w:val="auto"/>
          <w:kern w:val="0"/>
          <w:sz w:val="32"/>
          <w:szCs w:val="32"/>
        </w:rPr>
        <w:t>　实行物业服务企业信用计分评级。按照《济宁市物业服务企业信用信息评分标准》（见附件）计分。</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济宁市住房和城乡建设局可根据国家和省政策导向、行业发展需要等，对《济宁市物业服务企业信用信息评分标准》进行合理调整。</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第十五条</w:t>
      </w:r>
      <w:r>
        <w:rPr>
          <w:rFonts w:hint="eastAsia" w:ascii="仿宋" w:hAnsi="仿宋" w:eastAsia="仿宋" w:cs="宋体"/>
          <w:b/>
          <w:bCs/>
          <w:color w:val="auto"/>
          <w:kern w:val="0"/>
          <w:sz w:val="32"/>
          <w:szCs w:val="32"/>
        </w:rPr>
        <w:t>　项目绩效信用信息（甲类）分值、企业优良信用信息（乙类）分值各60分。</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项目绩效分值，为企业所有项目绩效信用信息（甲类）分值的平均值。</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物业服务企业总信用分值为：项目绩效信用信息（甲类）分值+企业优良信用信息（乙类）-企业不良信用信息（丙类）分值。</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第十六条　</w:t>
      </w:r>
      <w:r>
        <w:rPr>
          <w:rFonts w:hint="eastAsia" w:ascii="仿宋" w:hAnsi="仿宋" w:eastAsia="仿宋" w:cs="宋体"/>
          <w:b/>
          <w:bCs/>
          <w:color w:val="auto"/>
          <w:kern w:val="0"/>
          <w:sz w:val="32"/>
          <w:szCs w:val="32"/>
        </w:rPr>
        <w:t>物业服务企业信用信息计分有效期如下：</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项目绩效信用信息（甲类）中，红色物业建设、承接查验与服务合同签订计分长期有效，信息发生变更，分值随之实时变动；项目服务质量、项目创优创新降本增效、主管部门和街道社区考核采取分值覆盖方式，新分数录入后自动覆盖上一次分值。</w:t>
      </w:r>
    </w:p>
    <w:p>
      <w:pPr>
        <w:spacing w:line="560" w:lineRule="exact"/>
        <w:ind w:firstLine="643" w:firstLineChars="200"/>
        <w:rPr>
          <w:rFonts w:ascii="仿宋" w:hAnsi="仿宋" w:eastAsia="仿宋" w:cs="宋体"/>
          <w:b/>
          <w:bCs/>
          <w:color w:val="auto"/>
          <w:kern w:val="0"/>
          <w:sz w:val="32"/>
          <w:szCs w:val="32"/>
          <w:u w:val="single"/>
        </w:rPr>
      </w:pPr>
      <w:r>
        <w:rPr>
          <w:rFonts w:hint="eastAsia" w:ascii="仿宋" w:hAnsi="仿宋" w:eastAsia="仿宋" w:cs="宋体"/>
          <w:b/>
          <w:bCs/>
          <w:color w:val="auto"/>
          <w:kern w:val="0"/>
          <w:sz w:val="32"/>
          <w:szCs w:val="32"/>
        </w:rPr>
        <w:t>（二）企业优良信用信息（乙类）中，反映物业服务企业基本状况的信息长期有效，信息发生变更，分值随之实时变动；其他信息的计分周期原则上按照信息的有效时限同步计算，没有有效时限的，原则上计分周期为一年（自获得优良信用信息之日起计算，省级及以上奖项或荣誉称号无有效期限的，可长期有效）。</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三）企业不良信用信息（丙类）中，企业一般不良信用信息的计分周期为一年（自信息产生之日起计算）。在一年内整改的，视整改情况在一年后返还相应分值，一年内未进行整改的维持扣分。涉及严重不良信用信息事项的，有效期根据企业整改情况确定。</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第十七条</w:t>
      </w:r>
      <w:r>
        <w:rPr>
          <w:rFonts w:hint="eastAsia" w:ascii="仿宋" w:hAnsi="仿宋" w:eastAsia="仿宋" w:cs="宋体"/>
          <w:b/>
          <w:bCs/>
          <w:color w:val="auto"/>
          <w:kern w:val="0"/>
          <w:sz w:val="32"/>
          <w:szCs w:val="32"/>
        </w:rPr>
        <w:t>　物业服务企业信用等级根据信用计分，由市物业信用系统实时生成，信用等级从高到低分为AAA级、AA级、A级、B级、C级。</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信用得分在</w:t>
      </w:r>
      <w:r>
        <w:rPr>
          <w:rFonts w:ascii="仿宋" w:hAnsi="仿宋" w:eastAsia="仿宋" w:cs="宋体"/>
          <w:b/>
          <w:bCs/>
          <w:color w:val="auto"/>
          <w:kern w:val="0"/>
          <w:sz w:val="32"/>
          <w:szCs w:val="32"/>
        </w:rPr>
        <w:t>8</w:t>
      </w:r>
      <w:r>
        <w:rPr>
          <w:rFonts w:hint="eastAsia" w:ascii="仿宋" w:hAnsi="仿宋" w:eastAsia="仿宋" w:cs="宋体"/>
          <w:b/>
          <w:bCs/>
          <w:color w:val="auto"/>
          <w:kern w:val="0"/>
          <w:sz w:val="32"/>
          <w:szCs w:val="32"/>
        </w:rPr>
        <w:t>5分（含）以上，信用等级为：AAA级。</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信用得分在80分（含）至85分的，信用等级为：AA级。</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信用得分在70分（含）至80分的，信用等级为：A级。</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信用得分在60分（含）至70分的，或在60分以下且没有企业不良信用信息（丙类）的，信用等级为：B级。</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信用得分在6</w:t>
      </w:r>
      <w:r>
        <w:rPr>
          <w:rFonts w:ascii="仿宋" w:hAnsi="仿宋" w:eastAsia="仿宋" w:cs="宋体"/>
          <w:b/>
          <w:bCs/>
          <w:color w:val="auto"/>
          <w:kern w:val="0"/>
          <w:sz w:val="32"/>
          <w:szCs w:val="32"/>
        </w:rPr>
        <w:t>0</w:t>
      </w:r>
      <w:r>
        <w:rPr>
          <w:rFonts w:hint="eastAsia" w:ascii="仿宋" w:hAnsi="仿宋" w:eastAsia="仿宋" w:cs="宋体"/>
          <w:b/>
          <w:bCs/>
          <w:color w:val="auto"/>
          <w:kern w:val="0"/>
          <w:sz w:val="32"/>
          <w:szCs w:val="32"/>
        </w:rPr>
        <w:t>分以下，且有企业不良信用信息（丙类）的，信用等级为：C级。</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物业服务企业未实际从事物业服务活动，完成入网流程并如实完整填报基础信息的，信用等级暂定为:B级（60分），承接项目并完善项目信息后，系统自动根据评价标准计分评级。</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经</w:t>
      </w:r>
      <w:r>
        <w:rPr>
          <w:rFonts w:ascii="仿宋" w:hAnsi="仿宋" w:eastAsia="仿宋" w:cs="宋体"/>
          <w:b/>
          <w:bCs/>
          <w:color w:val="auto"/>
          <w:kern w:val="0"/>
          <w:sz w:val="32"/>
          <w:szCs w:val="32"/>
        </w:rPr>
        <w:t>物业主管部门核实，企业实际从事物业服务活动，但未按要</w:t>
      </w:r>
      <w:r>
        <w:rPr>
          <w:rFonts w:hint="eastAsia" w:ascii="仿宋" w:hAnsi="仿宋" w:eastAsia="仿宋" w:cs="宋体"/>
          <w:b/>
          <w:bCs/>
          <w:color w:val="auto"/>
          <w:kern w:val="0"/>
          <w:sz w:val="32"/>
          <w:szCs w:val="32"/>
        </w:rPr>
        <w:t>求参加信用信息管理的，信用等级为：C级（缺失）。</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第十八条</w:t>
      </w:r>
      <w:r>
        <w:rPr>
          <w:rFonts w:hint="eastAsia" w:ascii="仿宋" w:hAnsi="仿宋" w:eastAsia="仿宋" w:cs="宋体"/>
          <w:b/>
          <w:bCs/>
          <w:color w:val="auto"/>
          <w:kern w:val="0"/>
          <w:sz w:val="32"/>
          <w:szCs w:val="32"/>
        </w:rPr>
        <w:t>　建立物业服务领域信用严重失信名单制度。严重失信的行为包括：</w:t>
      </w:r>
    </w:p>
    <w:p>
      <w:pPr>
        <w:spacing w:line="560" w:lineRule="exact"/>
        <w:ind w:firstLine="643" w:firstLineChars="200"/>
        <w:rPr>
          <w:rFonts w:ascii="仿宋" w:hAnsi="仿宋" w:eastAsia="仿宋" w:cs="宋体"/>
          <w:b/>
          <w:bCs/>
          <w:color w:val="auto"/>
          <w:kern w:val="0"/>
          <w:sz w:val="32"/>
          <w:szCs w:val="32"/>
        </w:rPr>
      </w:pPr>
      <w:bookmarkStart w:id="1" w:name="_Hlk18333913"/>
      <w:r>
        <w:rPr>
          <w:rFonts w:hint="eastAsia" w:ascii="仿宋" w:hAnsi="仿宋" w:eastAsia="仿宋" w:cs="宋体"/>
          <w:b/>
          <w:bCs/>
          <w:color w:val="auto"/>
          <w:kern w:val="0"/>
          <w:sz w:val="32"/>
          <w:szCs w:val="32"/>
        </w:rPr>
        <w:t>（一）未按规定履行物业项目退出程序，擅自停止物业服务，或经合法程序解除物业服务合同后，拒不退出物业项目、移交物业用房及相关资料的，或将一个物业管理区域内的全部物业管理一并委托给其他管理人的；</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（二）擅自侵占、挪用、套用业主公共收益或专项维修资金，情节严重的；</w:t>
      </w:r>
    </w:p>
    <w:p>
      <w:pPr>
        <w:spacing w:line="560" w:lineRule="exact"/>
        <w:ind w:firstLine="643" w:firstLineChars="200"/>
        <w:rPr>
          <w:rFonts w:ascii="仿宋" w:hAnsi="仿宋" w:eastAsia="仿宋" w:cs="宋体"/>
          <w:b/>
          <w:bCs/>
          <w:color w:val="auto"/>
          <w:kern w:val="0"/>
          <w:sz w:val="32"/>
          <w:szCs w:val="32"/>
          <w:u w:val="single"/>
        </w:rPr>
      </w:pPr>
      <w:r>
        <w:rPr>
          <w:rFonts w:hint="eastAsia" w:ascii="仿宋" w:hAnsi="仿宋" w:eastAsia="仿宋" w:cs="宋体"/>
          <w:b/>
          <w:bCs/>
          <w:color w:val="auto"/>
          <w:kern w:val="0"/>
          <w:sz w:val="32"/>
          <w:szCs w:val="32"/>
        </w:rPr>
        <w:t>（三）因物业服务企业过错造成严重不良后果，产生集中信访事件、影响社会稳定的；</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（四）经司法机关或行政机关确认因物业服务企业全部责任或主要责任，发生重大生产安全事故的；</w:t>
      </w:r>
      <w:r>
        <w:rPr>
          <w:rFonts w:ascii="仿宋" w:hAnsi="仿宋" w:eastAsia="仿宋" w:cs="宋体"/>
          <w:b/>
          <w:bCs/>
          <w:color w:val="auto"/>
          <w:kern w:val="0"/>
          <w:sz w:val="32"/>
          <w:szCs w:val="32"/>
        </w:rPr>
        <w:t xml:space="preserve"> </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（五）在物业服务招标投标中有围标、串标等行为，严重破坏市场公平及竞争秩序和社会正常秩序的；</w:t>
      </w:r>
      <w:r>
        <w:rPr>
          <w:rFonts w:ascii="仿宋" w:hAnsi="仿宋" w:eastAsia="仿宋" w:cs="宋体"/>
          <w:b/>
          <w:bCs/>
          <w:color w:val="auto"/>
          <w:kern w:val="0"/>
          <w:sz w:val="32"/>
          <w:szCs w:val="32"/>
        </w:rPr>
        <w:t xml:space="preserve"> </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（六）物业服务企业拒不履行法定义务，严重影响司法机关、行政机关公信力的，包括在司法机关、行政机关作出判决或决定后，有履行能力但拒不履行、逃避执行的。</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物业服务企业出现第（一）至（三）项任意一项不超过1次的，信用等级暂定为C级（黄牌）；拒不整改、无法补救、出现第（一）至（三）项任意一项超过1次或发生第（四）至（六）项任意一项行为的，信用等级确定为C级（严重失信）。</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暂定为C级（黄牌）的有效期为自确定之日起6个月，有效期过后信用分值和信用等级重新评定，将该信用记录转为失效状态。</w:t>
      </w:r>
    </w:p>
    <w:p>
      <w:pPr>
        <w:spacing w:line="560" w:lineRule="exact"/>
        <w:ind w:firstLine="643" w:firstLineChars="200"/>
        <w:rPr>
          <w:rFonts w:ascii="黑体" w:hAnsi="黑体" w:eastAsia="黑体" w:cs="宋体"/>
          <w:b/>
          <w:bCs/>
          <w:color w:val="auto"/>
          <w:kern w:val="0"/>
          <w:sz w:val="32"/>
          <w:szCs w:val="32"/>
        </w:rPr>
      </w:pPr>
      <w:r>
        <w:rPr>
          <w:rFonts w:hint="eastAsia" w:ascii="黑体" w:hAnsi="黑体" w:eastAsia="黑体" w:cs="宋体"/>
          <w:b/>
          <w:bCs/>
          <w:color w:val="auto"/>
          <w:kern w:val="0"/>
          <w:sz w:val="32"/>
          <w:szCs w:val="32"/>
        </w:rPr>
        <w:t>第十九条　</w:t>
      </w:r>
      <w:r>
        <w:rPr>
          <w:rFonts w:hint="eastAsia" w:ascii="仿宋" w:hAnsi="仿宋" w:eastAsia="仿宋" w:cs="宋体"/>
          <w:b/>
          <w:bCs/>
          <w:color w:val="auto"/>
          <w:kern w:val="0"/>
          <w:sz w:val="32"/>
          <w:szCs w:val="32"/>
        </w:rPr>
        <w:t>物业服务企业对信用得分和等级等有异议的，可向县（市、区）物业主管部门书面提出。县（市、区）物业主管部门应当在收到书面异议后15个工作日内进行核查并书面答复。核查期间，应当对物业服务企业的信用得分和等级结果进行标注，直至异议处理结束。经核查确认有误的，应当及时予以纠正。</w:t>
      </w:r>
    </w:p>
    <w:bookmarkEnd w:id="1"/>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第二十条</w:t>
      </w:r>
      <w:r>
        <w:rPr>
          <w:rFonts w:hint="eastAsia" w:ascii="仿宋" w:hAnsi="仿宋" w:eastAsia="仿宋" w:cs="宋体"/>
          <w:b/>
          <w:bCs/>
          <w:color w:val="auto"/>
          <w:kern w:val="0"/>
          <w:sz w:val="32"/>
          <w:szCs w:val="32"/>
        </w:rPr>
        <w:t>　县（市、区）物业主管部门、街道</w:t>
      </w:r>
      <w:r>
        <w:rPr>
          <w:rFonts w:ascii="仿宋" w:hAnsi="仿宋" w:eastAsia="仿宋" w:cs="宋体"/>
          <w:b/>
          <w:bCs/>
          <w:color w:val="auto"/>
          <w:kern w:val="0"/>
          <w:sz w:val="32"/>
          <w:szCs w:val="32"/>
        </w:rPr>
        <w:t>办事处（</w:t>
      </w:r>
      <w:r>
        <w:rPr>
          <w:rFonts w:hint="eastAsia" w:ascii="仿宋" w:hAnsi="仿宋" w:eastAsia="仿宋" w:cs="宋体"/>
          <w:b/>
          <w:bCs/>
          <w:color w:val="auto"/>
          <w:kern w:val="0"/>
          <w:sz w:val="32"/>
          <w:szCs w:val="32"/>
        </w:rPr>
        <w:t>乡镇</w:t>
      </w:r>
      <w:r>
        <w:rPr>
          <w:rFonts w:ascii="仿宋" w:hAnsi="仿宋" w:eastAsia="仿宋" w:cs="宋体"/>
          <w:b/>
          <w:bCs/>
          <w:color w:val="auto"/>
          <w:kern w:val="0"/>
          <w:sz w:val="32"/>
          <w:szCs w:val="32"/>
        </w:rPr>
        <w:t>人民政府）和</w:t>
      </w:r>
      <w:r>
        <w:rPr>
          <w:rFonts w:hint="eastAsia" w:ascii="仿宋" w:hAnsi="仿宋" w:eastAsia="仿宋" w:cs="宋体"/>
          <w:b/>
          <w:bCs/>
          <w:color w:val="auto"/>
          <w:kern w:val="0"/>
          <w:sz w:val="32"/>
          <w:szCs w:val="32"/>
        </w:rPr>
        <w:t>社区居民委员会（社区环境和物业管理委员会）应设立并公布投诉举报电话、邮箱等，受理对于物业服务企业信用信息填报、评级管理等方面的投诉举报，对查实的投诉举报，录入市物业信用系统。</w:t>
      </w:r>
    </w:p>
    <w:p>
      <w:pPr>
        <w:spacing w:line="560" w:lineRule="exact"/>
        <w:jc w:val="center"/>
        <w:rPr>
          <w:rFonts w:ascii="方正小标宋简体" w:hAnsi="方正小标宋简体" w:eastAsia="方正小标宋简体" w:cs="方正小标宋简体"/>
          <w:b/>
          <w:bCs/>
          <w:color w:val="auto"/>
          <w:kern w:val="0"/>
          <w:sz w:val="36"/>
          <w:szCs w:val="36"/>
        </w:rPr>
      </w:pPr>
    </w:p>
    <w:p>
      <w:pPr>
        <w:spacing w:line="560" w:lineRule="exact"/>
        <w:jc w:val="center"/>
        <w:rPr>
          <w:rFonts w:ascii="黑体" w:hAnsi="黑体" w:eastAsia="黑体" w:cs="方正小标宋简体"/>
          <w:b/>
          <w:bCs/>
          <w:color w:val="auto"/>
          <w:kern w:val="0"/>
          <w:sz w:val="36"/>
          <w:szCs w:val="36"/>
        </w:rPr>
      </w:pPr>
      <w:r>
        <w:rPr>
          <w:rFonts w:hint="eastAsia" w:ascii="黑体" w:hAnsi="黑体" w:eastAsia="黑体" w:cs="方正小标宋简体"/>
          <w:b/>
          <w:bCs/>
          <w:color w:val="auto"/>
          <w:kern w:val="0"/>
          <w:sz w:val="36"/>
          <w:szCs w:val="36"/>
        </w:rPr>
        <w:t>第四章　信用信息发布和应用</w:t>
      </w:r>
    </w:p>
    <w:p>
      <w:pPr>
        <w:spacing w:line="560" w:lineRule="exact"/>
        <w:rPr>
          <w:rFonts w:ascii="黑体" w:hAnsi="黑体" w:eastAsia="黑体" w:cs="宋体"/>
          <w:b/>
          <w:bCs/>
          <w:color w:val="auto"/>
          <w:kern w:val="0"/>
          <w:sz w:val="36"/>
          <w:szCs w:val="36"/>
        </w:rPr>
      </w:pP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第二十一条</w:t>
      </w:r>
      <w:r>
        <w:rPr>
          <w:rFonts w:hint="eastAsia" w:ascii="仿宋" w:hAnsi="仿宋" w:eastAsia="仿宋" w:cs="宋体"/>
          <w:b/>
          <w:bCs/>
          <w:color w:val="auto"/>
          <w:kern w:val="0"/>
          <w:sz w:val="32"/>
          <w:szCs w:val="32"/>
        </w:rPr>
        <w:t>　物业服务企业信用评级结果在市物业信用系统公开，并按规定实现与“信用济宁”“国家企业信用信息公示系统”等公共信用信息平台的互通共享。物业服务企业根据需要可通过市物业信用系统查询信用</w:t>
      </w:r>
      <w:r>
        <w:rPr>
          <w:rFonts w:ascii="仿宋" w:hAnsi="仿宋" w:eastAsia="仿宋" w:cs="宋体"/>
          <w:b/>
          <w:bCs/>
          <w:color w:val="auto"/>
          <w:kern w:val="0"/>
          <w:sz w:val="32"/>
          <w:szCs w:val="32"/>
        </w:rPr>
        <w:t>等级，并</w:t>
      </w:r>
      <w:r>
        <w:rPr>
          <w:rFonts w:hint="eastAsia" w:ascii="仿宋" w:hAnsi="仿宋" w:eastAsia="仿宋" w:cs="宋体"/>
          <w:b/>
          <w:bCs/>
          <w:color w:val="auto"/>
          <w:kern w:val="0"/>
          <w:sz w:val="32"/>
          <w:szCs w:val="32"/>
        </w:rPr>
        <w:t>打印信用报告。有关部门、单位可依法通过市物业信用系统查询物业服务企业信用等级等情况。</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第二十二条</w:t>
      </w:r>
      <w:r>
        <w:rPr>
          <w:rFonts w:hint="eastAsia" w:ascii="仿宋" w:hAnsi="仿宋" w:eastAsia="仿宋" w:cs="宋体"/>
          <w:b/>
          <w:bCs/>
          <w:color w:val="auto"/>
          <w:kern w:val="0"/>
          <w:sz w:val="32"/>
          <w:szCs w:val="32"/>
        </w:rPr>
        <w:t>　市级物业主管部门定期公开物业服务企业信用等级情况，并将企业信用等级作为实施分类监管以及前期物业服务招标、业主大会选聘物业服务企业、表彰评选推介等活动的重要参考依据，实行守信激励、失信惩戒。</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第二十三条</w:t>
      </w:r>
      <w:r>
        <w:rPr>
          <w:rFonts w:hint="eastAsia" w:ascii="仿宋" w:hAnsi="仿宋" w:eastAsia="仿宋" w:cs="宋体"/>
          <w:b/>
          <w:bCs/>
          <w:color w:val="auto"/>
          <w:kern w:val="0"/>
          <w:sz w:val="32"/>
          <w:szCs w:val="32"/>
        </w:rPr>
        <w:t>　对信用等级A级以物业服务企业，在同等条件下可以依法采取下列激励措施：</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（一）在实施行政许可等活动中给予“绿色通道”、容缺受理等便利服务措施；</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（二）在财政性资金项目安排、招商引资配套优惠政策等方面列为优先选择对象；</w:t>
      </w:r>
      <w:r>
        <w:rPr>
          <w:rFonts w:ascii="仿宋" w:hAnsi="仿宋" w:eastAsia="仿宋" w:cs="宋体"/>
          <w:b/>
          <w:bCs/>
          <w:color w:val="auto"/>
          <w:kern w:val="0"/>
          <w:sz w:val="32"/>
          <w:szCs w:val="32"/>
        </w:rPr>
        <w:t xml:space="preserve"> </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（三）AAA级物业服务企业列为省级、市级荣誉优先选择对象，A级、AA级物业服务企业列为市级荣誉优先选择对象；</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（四）在有关公共资源交易活动中依法依约采取信用加分等措施；</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（五）在日常检查、专项检查、“双随机、一公开”监管中，适当降低抽查比例和频次；</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（六）国家、省和市规定的其他措施。</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项目有不良信用记录的，该项目及其相关人员不享受所属企业所有激励措施。</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第二十四条</w:t>
      </w:r>
      <w:r>
        <w:rPr>
          <w:rFonts w:hint="eastAsia" w:ascii="仿宋" w:hAnsi="仿宋" w:eastAsia="仿宋" w:cs="宋体"/>
          <w:b/>
          <w:bCs/>
          <w:color w:val="auto"/>
          <w:kern w:val="0"/>
          <w:sz w:val="32"/>
          <w:szCs w:val="32"/>
        </w:rPr>
        <w:t>　对于信用等级为B级的物业服务企业，采取常规性监管措施。</w:t>
      </w:r>
    </w:p>
    <w:p>
      <w:pPr>
        <w:spacing w:line="560" w:lineRule="exact"/>
        <w:ind w:firstLine="643" w:firstLineChars="200"/>
        <w:rPr>
          <w:rFonts w:ascii="黑体" w:hAnsi="黑体" w:eastAsia="黑体" w:cs="宋体"/>
          <w:b/>
          <w:bCs/>
          <w:color w:val="auto"/>
          <w:kern w:val="0"/>
          <w:sz w:val="32"/>
          <w:szCs w:val="32"/>
        </w:rPr>
      </w:pPr>
      <w:r>
        <w:rPr>
          <w:rFonts w:hint="eastAsia" w:ascii="黑体" w:hAnsi="黑体" w:eastAsia="黑体" w:cs="宋体"/>
          <w:b/>
          <w:bCs/>
          <w:color w:val="auto"/>
          <w:kern w:val="0"/>
          <w:sz w:val="32"/>
          <w:szCs w:val="32"/>
        </w:rPr>
        <w:t>第二十五条</w:t>
      </w:r>
      <w:r>
        <w:rPr>
          <w:rFonts w:hint="eastAsia" w:ascii="仿宋" w:hAnsi="仿宋" w:eastAsia="仿宋" w:cs="宋体"/>
          <w:b/>
          <w:bCs/>
          <w:color w:val="auto"/>
          <w:kern w:val="0"/>
          <w:sz w:val="32"/>
          <w:szCs w:val="32"/>
        </w:rPr>
        <w:t>　对于信用等级为C级的物业服务企业，可以依法采取下列措施：</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（一）在日常检查、专项检查、“双随机、一公开”监管中，提高抽查比例和频次；</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（二）作为开发建设单位、业主大会开展招标活动的参考；</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（三）作为审核财政资金补助、税收优惠等政策扶持的参考；</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（四）作为政府采购等公共资源交易活动的参考；</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（五）作为政府部门、行业协会表彰奖励活动的参考；</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（六）提高频次发布风险提示；</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（七）国家、省和市规定的其他措施。</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第二十六条</w:t>
      </w:r>
      <w:r>
        <w:rPr>
          <w:rFonts w:hint="eastAsia" w:ascii="仿宋" w:hAnsi="仿宋" w:eastAsia="仿宋" w:cs="宋体"/>
          <w:b/>
          <w:bCs/>
          <w:color w:val="auto"/>
          <w:kern w:val="0"/>
          <w:sz w:val="32"/>
          <w:szCs w:val="32"/>
        </w:rPr>
        <w:t>　对信用等级为C级（严重失信）的物业服务企业，除可采取本办法第二十六条规定的措施外，物业主管部门或街道办事处（乡镇人民政府）还可以依法采取以下措施：</w:t>
      </w:r>
      <w:r>
        <w:rPr>
          <w:rFonts w:ascii="仿宋" w:hAnsi="仿宋" w:eastAsia="仿宋" w:cs="宋体"/>
          <w:b/>
          <w:bCs/>
          <w:color w:val="auto"/>
          <w:kern w:val="0"/>
          <w:sz w:val="32"/>
          <w:szCs w:val="32"/>
        </w:rPr>
        <w:t xml:space="preserve"> </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（一）撤销企业及其法定代表人、负责人和对失信行为负有直接责任的相关人员的荣誉称号，取消参加评先评优资格；</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（二）约谈企业负责人，责令限期整改；</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（三）向公众发出信用风险提示，视情节向业主大会提出解除物业服务合同或者不再续约的书面建议；</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（四）将信用信息通报信用管理部门和其他部门，实施协同监管、联合惩戒；信用信息纳入企业法人、直接责任人信用信息记录。</w:t>
      </w:r>
    </w:p>
    <w:p>
      <w:pPr>
        <w:spacing w:line="560" w:lineRule="exact"/>
        <w:ind w:firstLine="643" w:firstLineChars="200"/>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业主或物业使用人不得以物业服务企业被列入严重失信主体名单为由，拒绝交纳物业服务费。</w:t>
      </w:r>
    </w:p>
    <w:p>
      <w:pPr>
        <w:spacing w:line="560" w:lineRule="exact"/>
        <w:ind w:firstLine="643" w:firstLineChars="200"/>
        <w:rPr>
          <w:rFonts w:ascii="仿宋" w:hAnsi="仿宋" w:eastAsia="仿宋" w:cs="宋体"/>
          <w:b/>
          <w:bCs/>
          <w:color w:val="auto"/>
          <w:kern w:val="0"/>
          <w:sz w:val="32"/>
          <w:szCs w:val="32"/>
        </w:rPr>
      </w:pPr>
    </w:p>
    <w:p>
      <w:pPr>
        <w:spacing w:line="560" w:lineRule="exact"/>
        <w:jc w:val="center"/>
        <w:rPr>
          <w:rFonts w:ascii="黑体" w:hAnsi="黑体" w:eastAsia="黑体" w:cs="方正小标宋简体"/>
          <w:b/>
          <w:bCs/>
          <w:color w:val="auto"/>
          <w:kern w:val="0"/>
          <w:sz w:val="36"/>
          <w:szCs w:val="36"/>
        </w:rPr>
      </w:pPr>
      <w:r>
        <w:rPr>
          <w:rFonts w:hint="eastAsia" w:ascii="黑体" w:hAnsi="黑体" w:eastAsia="黑体" w:cs="方正小标宋简体"/>
          <w:b/>
          <w:bCs/>
          <w:color w:val="auto"/>
          <w:kern w:val="0"/>
          <w:sz w:val="36"/>
          <w:szCs w:val="36"/>
        </w:rPr>
        <w:t>第五章　附　则</w:t>
      </w:r>
    </w:p>
    <w:p>
      <w:pPr>
        <w:spacing w:line="560" w:lineRule="exact"/>
        <w:rPr>
          <w:rFonts w:ascii="黑体" w:hAnsi="黑体" w:eastAsia="黑体" w:cs="宋体"/>
          <w:b/>
          <w:bCs/>
          <w:color w:val="auto"/>
          <w:kern w:val="0"/>
          <w:sz w:val="36"/>
          <w:szCs w:val="36"/>
        </w:rPr>
      </w:pP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第二十七条</w:t>
      </w:r>
      <w:r>
        <w:rPr>
          <w:rFonts w:hint="eastAsia" w:ascii="仿宋" w:hAnsi="仿宋" w:eastAsia="仿宋" w:cs="宋体"/>
          <w:b/>
          <w:bCs/>
          <w:color w:val="auto"/>
          <w:kern w:val="0"/>
          <w:sz w:val="32"/>
          <w:szCs w:val="32"/>
        </w:rPr>
        <w:t>　相关管理机构及其工作人员在物业服务企业信用信息管理工作中，应当认真履行职责，不得徇私舞弊、玩忽职守、滥用职权，不按规定管理信用信息。违者依法追究相关责任。</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第二十八条　</w:t>
      </w:r>
      <w:r>
        <w:rPr>
          <w:rFonts w:hint="eastAsia" w:ascii="仿宋" w:hAnsi="仿宋" w:eastAsia="仿宋" w:cs="宋体"/>
          <w:b/>
          <w:bCs/>
          <w:color w:val="auto"/>
          <w:kern w:val="0"/>
          <w:sz w:val="32"/>
          <w:szCs w:val="32"/>
        </w:rPr>
        <w:t>本办法由济宁市住房和</w:t>
      </w:r>
      <w:r>
        <w:rPr>
          <w:rFonts w:ascii="仿宋" w:hAnsi="仿宋" w:eastAsia="仿宋" w:cs="宋体"/>
          <w:b/>
          <w:bCs/>
          <w:color w:val="auto"/>
          <w:kern w:val="0"/>
          <w:sz w:val="32"/>
          <w:szCs w:val="32"/>
        </w:rPr>
        <w:t>城乡建设</w:t>
      </w:r>
      <w:r>
        <w:rPr>
          <w:rFonts w:hint="eastAsia" w:ascii="仿宋" w:hAnsi="仿宋" w:eastAsia="仿宋" w:cs="宋体"/>
          <w:b/>
          <w:bCs/>
          <w:color w:val="auto"/>
          <w:kern w:val="0"/>
          <w:sz w:val="32"/>
          <w:szCs w:val="32"/>
        </w:rPr>
        <w:t>局负责解释。</w:t>
      </w:r>
    </w:p>
    <w:p>
      <w:pPr>
        <w:spacing w:line="560" w:lineRule="exact"/>
        <w:ind w:firstLine="643" w:firstLineChars="200"/>
        <w:rPr>
          <w:rFonts w:ascii="仿宋" w:hAnsi="仿宋" w:eastAsia="仿宋" w:cs="宋体"/>
          <w:b/>
          <w:bCs/>
          <w:color w:val="auto"/>
          <w:kern w:val="0"/>
          <w:sz w:val="32"/>
          <w:szCs w:val="32"/>
        </w:rPr>
      </w:pPr>
      <w:r>
        <w:rPr>
          <w:rFonts w:hint="eastAsia" w:ascii="黑体" w:hAnsi="黑体" w:eastAsia="黑体" w:cs="宋体"/>
          <w:b/>
          <w:bCs/>
          <w:color w:val="auto"/>
          <w:kern w:val="0"/>
          <w:sz w:val="32"/>
          <w:szCs w:val="32"/>
        </w:rPr>
        <w:t>第二十九条　</w:t>
      </w:r>
      <w:r>
        <w:rPr>
          <w:rFonts w:hint="eastAsia" w:ascii="仿宋" w:hAnsi="仿宋" w:eastAsia="仿宋" w:cs="宋体"/>
          <w:b/>
          <w:bCs/>
          <w:color w:val="auto"/>
          <w:kern w:val="0"/>
          <w:sz w:val="32"/>
          <w:szCs w:val="32"/>
        </w:rPr>
        <w:t>本办法自2024年  月  日起施行，有效期至2027年  月  日。相关法律法规和政策依据发生变化或有效期届满，将依据实施情况依法评估修订。</w:t>
      </w:r>
    </w:p>
    <w:p>
      <w:pPr>
        <w:spacing w:line="560" w:lineRule="exact"/>
        <w:ind w:firstLine="643" w:firstLineChars="200"/>
        <w:jc w:val="left"/>
        <w:rPr>
          <w:rFonts w:ascii="仿宋" w:hAnsi="仿宋" w:eastAsia="仿宋" w:cs="宋体"/>
          <w:b/>
          <w:bCs/>
          <w:color w:val="auto"/>
          <w:kern w:val="0"/>
          <w:sz w:val="32"/>
          <w:szCs w:val="32"/>
        </w:rPr>
      </w:pPr>
    </w:p>
    <w:p>
      <w:pPr>
        <w:spacing w:line="560" w:lineRule="exact"/>
        <w:ind w:firstLine="643" w:firstLineChars="200"/>
        <w:jc w:val="lef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附件：济宁市物业服务企业信用信息评分标准</w:t>
      </w:r>
    </w:p>
    <w:p>
      <w:pPr>
        <w:spacing w:line="580" w:lineRule="exact"/>
        <w:jc w:val="center"/>
        <w:rPr>
          <w:rFonts w:ascii="方正小标宋简体" w:eastAsia="方正小标宋简体"/>
          <w:b/>
          <w:bCs/>
          <w:color w:val="auto"/>
          <w:sz w:val="38"/>
          <w:szCs w:val="38"/>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spacing w:line="600" w:lineRule="exact"/>
        <w:rPr>
          <w:rFonts w:ascii="黑体" w:hAnsi="黑体" w:eastAsia="黑体" w:cs="黑体"/>
          <w:b/>
          <w:bCs/>
          <w:color w:val="auto"/>
          <w:sz w:val="32"/>
          <w:szCs w:val="32"/>
        </w:rPr>
      </w:pPr>
      <w:r>
        <w:rPr>
          <w:rFonts w:hint="eastAsia" w:ascii="黑体" w:hAnsi="黑体" w:eastAsia="黑体" w:cs="黑体"/>
          <w:b/>
          <w:bCs/>
          <w:color w:val="auto"/>
          <w:sz w:val="32"/>
          <w:szCs w:val="32"/>
        </w:rPr>
        <w:t>附件</w:t>
      </w:r>
    </w:p>
    <w:p>
      <w:pPr>
        <w:jc w:val="center"/>
        <w:rPr>
          <w:rFonts w:ascii="方正小标宋简体" w:eastAsia="方正小标宋简体"/>
          <w:b/>
          <w:bCs/>
          <w:color w:val="auto"/>
          <w:sz w:val="44"/>
          <w:szCs w:val="44"/>
        </w:rPr>
      </w:pPr>
      <w:r>
        <w:rPr>
          <w:rFonts w:hint="eastAsia" w:ascii="方正小标宋简体" w:eastAsia="方正小标宋简体"/>
          <w:b/>
          <w:bCs/>
          <w:color w:val="auto"/>
          <w:sz w:val="44"/>
          <w:szCs w:val="44"/>
        </w:rPr>
        <w:t>济宁市物业服务企业信用信息评分标准</w:t>
      </w:r>
    </w:p>
    <w:p>
      <w:pPr>
        <w:jc w:val="center"/>
        <w:rPr>
          <w:rFonts w:ascii="方正小标宋简体" w:eastAsia="方正小标宋简体"/>
          <w:b/>
          <w:bCs/>
          <w:color w:val="auto"/>
          <w:sz w:val="32"/>
          <w:szCs w:val="32"/>
        </w:rPr>
      </w:pPr>
      <w:r>
        <w:rPr>
          <w:rFonts w:hint="eastAsia" w:ascii="黑体" w:hAnsi="黑体" w:eastAsia="黑体"/>
          <w:b/>
          <w:bCs/>
          <w:color w:val="auto"/>
          <w:sz w:val="32"/>
          <w:szCs w:val="32"/>
        </w:rPr>
        <w:t>甲类　住宅项目绩效信用信息（共60分）</w:t>
      </w:r>
    </w:p>
    <w:tbl>
      <w:tblPr>
        <w:tblStyle w:val="17"/>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47"/>
        <w:gridCol w:w="478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81" w:type="dxa"/>
            <w:gridSpan w:val="2"/>
            <w:vAlign w:val="center"/>
          </w:tcPr>
          <w:p>
            <w:pPr>
              <w:jc w:val="center"/>
              <w:rPr>
                <w:rFonts w:ascii="黑体" w:hAnsi="黑体" w:eastAsia="黑体"/>
                <w:b/>
                <w:bCs/>
                <w:color w:val="auto"/>
                <w:sz w:val="24"/>
              </w:rPr>
            </w:pPr>
            <w:r>
              <w:rPr>
                <w:rFonts w:hint="eastAsia" w:ascii="黑体" w:hAnsi="黑体" w:eastAsia="黑体"/>
                <w:b/>
                <w:bCs/>
                <w:color w:val="auto"/>
                <w:sz w:val="24"/>
              </w:rPr>
              <w:t>类别</w:t>
            </w:r>
          </w:p>
        </w:tc>
        <w:tc>
          <w:tcPr>
            <w:tcW w:w="4785" w:type="dxa"/>
            <w:vAlign w:val="center"/>
          </w:tcPr>
          <w:p>
            <w:pPr>
              <w:jc w:val="center"/>
              <w:rPr>
                <w:rFonts w:ascii="黑体" w:hAnsi="黑体" w:eastAsia="黑体"/>
                <w:b/>
                <w:bCs/>
                <w:color w:val="auto"/>
                <w:sz w:val="24"/>
              </w:rPr>
            </w:pPr>
            <w:r>
              <w:rPr>
                <w:rFonts w:hint="eastAsia" w:ascii="黑体" w:hAnsi="黑体" w:eastAsia="黑体"/>
                <w:b/>
                <w:bCs/>
                <w:color w:val="auto"/>
                <w:sz w:val="24"/>
              </w:rPr>
              <w:t>评分标准</w:t>
            </w:r>
          </w:p>
        </w:tc>
        <w:tc>
          <w:tcPr>
            <w:tcW w:w="1436" w:type="dxa"/>
            <w:vAlign w:val="center"/>
          </w:tcPr>
          <w:p>
            <w:pPr>
              <w:jc w:val="center"/>
              <w:rPr>
                <w:rFonts w:ascii="黑体" w:hAnsi="黑体" w:eastAsia="黑体"/>
                <w:b/>
                <w:bCs/>
                <w:color w:val="auto"/>
                <w:sz w:val="24"/>
              </w:rPr>
            </w:pPr>
            <w:r>
              <w:rPr>
                <w:rFonts w:hint="eastAsia" w:ascii="黑体" w:hAnsi="黑体" w:eastAsia="黑体"/>
                <w:b/>
                <w:bCs/>
                <w:color w:val="auto"/>
                <w:sz w:val="24"/>
              </w:rPr>
              <w:t>录入及认定单位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134" w:type="dxa"/>
            <w:vMerge w:val="restart"/>
            <w:vAlign w:val="center"/>
          </w:tcPr>
          <w:p>
            <w:pPr>
              <w:jc w:val="center"/>
              <w:rPr>
                <w:rFonts w:ascii="黑体" w:hAnsi="黑体" w:eastAsia="黑体"/>
                <w:b/>
                <w:bCs/>
                <w:color w:val="auto"/>
                <w:sz w:val="24"/>
              </w:rPr>
            </w:pPr>
            <w:r>
              <w:rPr>
                <w:rFonts w:hint="eastAsia" w:ascii="黑体" w:hAnsi="黑体" w:eastAsia="黑体"/>
                <w:b/>
                <w:bCs/>
                <w:color w:val="auto"/>
                <w:sz w:val="24"/>
              </w:rPr>
              <w:t>红色物业建设（10分）</w:t>
            </w: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党的建设</w:t>
            </w:r>
          </w:p>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（4分）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物业服务项目成立党组织或党小组，或通过采取联合组建、社区党组织派遣党建指导员等形式实现党的组织覆盖的，得4分。物业服务企业承揽多个物业服务项目的取平均分。</w:t>
            </w:r>
          </w:p>
        </w:tc>
        <w:tc>
          <w:tcPr>
            <w:tcW w:w="1436" w:type="dxa"/>
            <w:vMerge w:val="restart"/>
            <w:vAlign w:val="center"/>
          </w:tcPr>
          <w:p>
            <w:pPr>
              <w:rPr>
                <w:rFonts w:ascii="仿宋" w:hAnsi="仿宋" w:eastAsia="仿宋"/>
                <w:b/>
                <w:bCs/>
                <w:color w:val="auto"/>
                <w:sz w:val="22"/>
              </w:rPr>
            </w:pPr>
            <w:r>
              <w:rPr>
                <w:rFonts w:hint="eastAsia" w:ascii="仿宋" w:hAnsi="仿宋" w:eastAsia="仿宋"/>
                <w:b/>
                <w:bCs/>
                <w:color w:val="auto"/>
                <w:sz w:val="22"/>
              </w:rPr>
              <w:t>物业服务企业录入；</w:t>
            </w:r>
          </w:p>
          <w:p>
            <w:pPr>
              <w:rPr>
                <w:rFonts w:ascii="仿宋" w:hAnsi="仿宋" w:eastAsia="仿宋"/>
                <w:b/>
                <w:bCs/>
                <w:color w:val="auto"/>
                <w:sz w:val="22"/>
              </w:rPr>
            </w:pPr>
            <w:r>
              <w:rPr>
                <w:rFonts w:hint="eastAsia" w:ascii="仿宋" w:hAnsi="仿宋" w:eastAsia="仿宋"/>
                <w:b/>
                <w:bCs/>
                <w:color w:val="auto"/>
                <w:sz w:val="22"/>
              </w:rPr>
              <w:t>街道（镇）社区确认。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34" w:type="dxa"/>
            <w:vMerge w:val="continue"/>
            <w:vAlign w:val="center"/>
          </w:tcPr>
          <w:p>
            <w:pPr>
              <w:jc w:val="center"/>
              <w:rPr>
                <w:rFonts w:ascii="黑体" w:hAnsi="黑体" w:eastAsia="黑体"/>
                <w:b/>
                <w:bCs/>
                <w:color w:val="auto"/>
                <w:sz w:val="24"/>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组织建设</w:t>
            </w:r>
          </w:p>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（3分）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社区“两委”成员兼任物业服务项目义务总监的，或指派网格员担任小区物业管理员的，物业服务项目管理人员担任社区“两委”兼职委员或小区党支部成员的，得3分。物业服务企业承揽多个物业服务项目的取平均分。</w:t>
            </w:r>
          </w:p>
        </w:tc>
        <w:tc>
          <w:tcPr>
            <w:tcW w:w="1436"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1134" w:type="dxa"/>
            <w:vMerge w:val="continue"/>
            <w:vAlign w:val="center"/>
          </w:tcPr>
          <w:p>
            <w:pPr>
              <w:jc w:val="center"/>
              <w:rPr>
                <w:rFonts w:ascii="黑体" w:hAnsi="黑体" w:eastAsia="黑体"/>
                <w:b/>
                <w:bCs/>
                <w:color w:val="auto"/>
                <w:sz w:val="24"/>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制度建设</w:t>
            </w:r>
          </w:p>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（3分）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建立街道、社区、业委会（物管会）、物业企业等参与的联席会议等共商共建制度的，或建立街道、社区党组织领导下的共管组织议事机制的，得3分。物业服务企业承揽多个物业服务项目的取平均分。</w:t>
            </w:r>
          </w:p>
        </w:tc>
        <w:tc>
          <w:tcPr>
            <w:tcW w:w="1436"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1134" w:type="dxa"/>
            <w:vMerge w:val="restart"/>
            <w:vAlign w:val="center"/>
          </w:tcPr>
          <w:p>
            <w:pPr>
              <w:jc w:val="center"/>
              <w:rPr>
                <w:rFonts w:ascii="黑体" w:hAnsi="黑体" w:eastAsia="黑体"/>
                <w:b/>
                <w:bCs/>
                <w:color w:val="auto"/>
                <w:sz w:val="24"/>
              </w:rPr>
            </w:pPr>
            <w:r>
              <w:rPr>
                <w:rFonts w:hint="eastAsia" w:ascii="黑体" w:hAnsi="黑体" w:eastAsia="黑体"/>
                <w:b/>
                <w:bCs/>
                <w:color w:val="auto"/>
                <w:sz w:val="24"/>
              </w:rPr>
              <w:t>项目服务质量</w:t>
            </w:r>
          </w:p>
          <w:p>
            <w:pPr>
              <w:jc w:val="center"/>
              <w:rPr>
                <w:rFonts w:ascii="黑体" w:hAnsi="黑体" w:eastAsia="黑体"/>
                <w:b/>
                <w:bCs/>
                <w:color w:val="auto"/>
                <w:sz w:val="24"/>
              </w:rPr>
            </w:pPr>
            <w:r>
              <w:rPr>
                <w:rFonts w:hint="eastAsia" w:ascii="黑体" w:hAnsi="黑体" w:eastAsia="黑体"/>
                <w:b/>
                <w:bCs/>
                <w:color w:val="auto"/>
                <w:sz w:val="24"/>
              </w:rPr>
              <w:t>（30分）</w:t>
            </w: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公示公开情况</w:t>
            </w:r>
          </w:p>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（6分）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在小区公告栏、物业服务中心等显著位置，公开物业服务标准的，得2分；公开服务价格的，得2分；公开投诉渠道和方式的，得2分；公开公共收益信息的，得2分；公开小区管理规约（临时管理规约）的，得2分。物业服务企业承揽多个物业服务项目的取平均分。</w:t>
            </w:r>
          </w:p>
        </w:tc>
        <w:tc>
          <w:tcPr>
            <w:tcW w:w="1436" w:type="dxa"/>
            <w:vMerge w:val="restart"/>
            <w:vAlign w:val="center"/>
          </w:tcPr>
          <w:p>
            <w:pPr>
              <w:rPr>
                <w:rFonts w:ascii="仿宋" w:hAnsi="仿宋" w:eastAsia="仿宋"/>
                <w:b/>
                <w:bCs/>
                <w:color w:val="auto"/>
                <w:sz w:val="22"/>
              </w:rPr>
            </w:pPr>
            <w:r>
              <w:rPr>
                <w:rFonts w:hint="eastAsia" w:ascii="仿宋" w:hAnsi="仿宋" w:eastAsia="仿宋"/>
                <w:b/>
                <w:bCs/>
                <w:color w:val="auto"/>
                <w:sz w:val="22"/>
              </w:rPr>
              <w:t>物业服务企业录入；</w:t>
            </w:r>
          </w:p>
          <w:p>
            <w:pPr>
              <w:rPr>
                <w:rFonts w:ascii="仿宋" w:hAnsi="仿宋" w:eastAsia="仿宋"/>
                <w:b/>
                <w:bCs/>
                <w:color w:val="auto"/>
                <w:sz w:val="22"/>
              </w:rPr>
            </w:pPr>
            <w:r>
              <w:rPr>
                <w:rFonts w:hint="eastAsia" w:ascii="仿宋" w:hAnsi="仿宋" w:eastAsia="仿宋"/>
                <w:b/>
                <w:bCs/>
                <w:color w:val="auto"/>
                <w:sz w:val="22"/>
              </w:rPr>
              <w:t>街道社区确认。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134" w:type="dxa"/>
            <w:vMerge w:val="continue"/>
            <w:vAlign w:val="center"/>
          </w:tcPr>
          <w:p>
            <w:pPr>
              <w:rPr>
                <w:rFonts w:ascii="黑体" w:hAnsi="黑体" w:eastAsia="黑体"/>
                <w:b/>
                <w:bCs/>
                <w:color w:val="auto"/>
                <w:sz w:val="24"/>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承接查验情况</w:t>
            </w:r>
          </w:p>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（4分）</w:t>
            </w:r>
          </w:p>
        </w:tc>
        <w:tc>
          <w:tcPr>
            <w:tcW w:w="4785" w:type="dxa"/>
            <w:vAlign w:val="center"/>
          </w:tcPr>
          <w:p>
            <w:pPr>
              <w:jc w:val="left"/>
              <w:rPr>
                <w:rFonts w:asciiTheme="minorEastAsia" w:hAnsiTheme="minorEastAsia"/>
                <w:b/>
                <w:bCs/>
                <w:color w:val="auto"/>
                <w:sz w:val="22"/>
              </w:rPr>
            </w:pPr>
            <w:r>
              <w:rPr>
                <w:rFonts w:hint="eastAsia" w:ascii="仿宋" w:hAnsi="仿宋" w:eastAsia="仿宋"/>
                <w:b/>
                <w:bCs/>
                <w:color w:val="auto"/>
                <w:sz w:val="22"/>
              </w:rPr>
              <w:t>在管项目履行承接查验手续，并签订承接查验协议书的，得2分；按照承接查验协议要求，开展承接查验工作，上传承接查验文件资料的，得2分。物业服务企业承揽多个物业服务项目的取平均分。</w:t>
            </w:r>
          </w:p>
        </w:tc>
        <w:tc>
          <w:tcPr>
            <w:tcW w:w="1436"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134" w:type="dxa"/>
            <w:vMerge w:val="continue"/>
            <w:vAlign w:val="center"/>
          </w:tcPr>
          <w:p>
            <w:pPr>
              <w:rPr>
                <w:rFonts w:ascii="黑体" w:hAnsi="黑体" w:eastAsia="黑体"/>
                <w:b/>
                <w:bCs/>
                <w:color w:val="auto"/>
                <w:sz w:val="24"/>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物业服务合同履约</w:t>
            </w:r>
          </w:p>
          <w:p>
            <w:pPr>
              <w:spacing w:line="340" w:lineRule="exact"/>
              <w:jc w:val="center"/>
              <w:rPr>
                <w:color w:val="auto"/>
                <w:sz w:val="28"/>
                <w:szCs w:val="28"/>
              </w:rPr>
            </w:pPr>
            <w:r>
              <w:rPr>
                <w:rFonts w:hint="eastAsia" w:asciiTheme="minorEastAsia" w:hAnsiTheme="minorEastAsia"/>
                <w:b/>
                <w:bCs/>
                <w:color w:val="auto"/>
                <w:sz w:val="22"/>
              </w:rPr>
              <w:t>（6分）</w:t>
            </w:r>
          </w:p>
        </w:tc>
        <w:tc>
          <w:tcPr>
            <w:tcW w:w="4785" w:type="dxa"/>
            <w:vAlign w:val="center"/>
          </w:tcPr>
          <w:p>
            <w:pPr>
              <w:spacing w:line="400" w:lineRule="exact"/>
              <w:jc w:val="left"/>
              <w:rPr>
                <w:rFonts w:ascii="仿宋_GB2312" w:hAnsi="仿宋_GB2312" w:eastAsia="仿宋_GB2312" w:cs="仿宋_GB2312"/>
                <w:color w:val="auto"/>
                <w:sz w:val="24"/>
              </w:rPr>
            </w:pPr>
            <w:r>
              <w:rPr>
                <w:rFonts w:hint="eastAsia" w:ascii="仿宋" w:hAnsi="仿宋" w:eastAsia="仿宋"/>
                <w:b/>
                <w:bCs/>
                <w:color w:val="auto"/>
                <w:sz w:val="22"/>
              </w:rPr>
              <w:t>由一家物业服务企业统一实施专业化管理，签订有效期内物业服务合同的，得2分；每年进行一次业主全覆盖满意度调查，并根据调查结果提出整改方案的，得4分。物业服务企业承揽多个物业服务项目的取平均分。</w:t>
            </w:r>
          </w:p>
        </w:tc>
        <w:tc>
          <w:tcPr>
            <w:tcW w:w="1436"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134" w:type="dxa"/>
            <w:vMerge w:val="continue"/>
            <w:vAlign w:val="center"/>
          </w:tcPr>
          <w:p>
            <w:pPr>
              <w:rPr>
                <w:rFonts w:ascii="黑体" w:hAnsi="黑体" w:eastAsia="黑体"/>
                <w:b/>
                <w:bCs/>
                <w:color w:val="auto"/>
                <w:sz w:val="24"/>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四保一服情况</w:t>
            </w:r>
          </w:p>
          <w:p>
            <w:pPr>
              <w:pStyle w:val="8"/>
              <w:spacing w:line="340" w:lineRule="exact"/>
              <w:jc w:val="center"/>
              <w:rPr>
                <w:color w:val="auto"/>
              </w:rPr>
            </w:pPr>
            <w:r>
              <w:rPr>
                <w:rFonts w:hint="eastAsia" w:asciiTheme="minorEastAsia" w:hAnsiTheme="minorEastAsia"/>
                <w:b/>
                <w:bCs/>
                <w:color w:val="auto"/>
                <w:sz w:val="22"/>
              </w:rPr>
              <w:t>（5分）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保安、保洁、保绿、保修、客户服务事项符合合同约定服务标准的，以物业服务各项工作留存档案得分，各得1分，累加最高不超过5分。物业服务企业承揽多个物业服务项目的取平均分。</w:t>
            </w:r>
          </w:p>
        </w:tc>
        <w:tc>
          <w:tcPr>
            <w:tcW w:w="1436"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134" w:type="dxa"/>
            <w:vMerge w:val="continue"/>
            <w:vAlign w:val="center"/>
          </w:tcPr>
          <w:p>
            <w:pPr>
              <w:jc w:val="center"/>
              <w:rPr>
                <w:rFonts w:ascii="黑体" w:hAnsi="黑体" w:eastAsia="黑体"/>
                <w:b/>
                <w:bCs/>
                <w:color w:val="auto"/>
                <w:sz w:val="24"/>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活动开展情况</w:t>
            </w:r>
          </w:p>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（9分）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每月组织开展1次物业项目经理接待日活动，得0.5分；元旦、中秋、端午、重阳、春节等传统节日组织开展文化活动，每开展1次得0.3分；志愿者服务、义诊等活动的，每开展1次，得0.1分。累加最高不超过9分。物业服务企业承揽多个物业服务项目的取平均分。</w:t>
            </w:r>
          </w:p>
        </w:tc>
        <w:tc>
          <w:tcPr>
            <w:tcW w:w="1436"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1134" w:type="dxa"/>
            <w:vMerge w:val="restart"/>
            <w:vAlign w:val="center"/>
          </w:tcPr>
          <w:p>
            <w:pPr>
              <w:jc w:val="center"/>
              <w:rPr>
                <w:rFonts w:ascii="黑体" w:hAnsi="黑体" w:eastAsia="黑体"/>
                <w:b/>
                <w:bCs/>
                <w:color w:val="auto"/>
                <w:sz w:val="24"/>
              </w:rPr>
            </w:pPr>
            <w:r>
              <w:rPr>
                <w:rFonts w:hint="eastAsia" w:ascii="黑体" w:hAnsi="黑体" w:eastAsia="黑体"/>
                <w:b/>
                <w:bCs/>
                <w:color w:val="auto"/>
                <w:sz w:val="24"/>
              </w:rPr>
              <w:t>县市区物业主管部门考核</w:t>
            </w:r>
          </w:p>
          <w:p>
            <w:pPr>
              <w:pStyle w:val="8"/>
              <w:rPr>
                <w:color w:val="auto"/>
              </w:rPr>
            </w:pPr>
            <w:r>
              <w:rPr>
                <w:rFonts w:hint="eastAsia" w:ascii="黑体" w:hAnsi="黑体" w:eastAsia="黑体"/>
                <w:b/>
                <w:bCs/>
                <w:color w:val="auto"/>
                <w:sz w:val="24"/>
              </w:rPr>
              <w:t>（6分）</w:t>
            </w: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物业行业法律法规制度落实情况</w:t>
            </w:r>
          </w:p>
          <w:p>
            <w:pPr>
              <w:spacing w:line="340" w:lineRule="exact"/>
              <w:jc w:val="center"/>
              <w:rPr>
                <w:color w:val="auto"/>
              </w:rPr>
            </w:pPr>
            <w:r>
              <w:rPr>
                <w:rFonts w:hint="eastAsia" w:asciiTheme="minorEastAsia" w:hAnsiTheme="minorEastAsia"/>
                <w:b/>
                <w:bCs/>
                <w:color w:val="auto"/>
                <w:sz w:val="22"/>
              </w:rPr>
              <w:t>（3分）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县市区物业主管部门对辖区物管小区落实《物业管理条例》、《山东省物业管理条例》、《山东省住宅专项维修资金管理办法》等情况进行考核打分，第一档得3分，第二档得2分，第三档得1分。物业服务企业承揽多个物业服务项目的取平均分。</w:t>
            </w:r>
          </w:p>
        </w:tc>
        <w:tc>
          <w:tcPr>
            <w:tcW w:w="1436" w:type="dxa"/>
            <w:vMerge w:val="restart"/>
            <w:vAlign w:val="center"/>
          </w:tcPr>
          <w:p>
            <w:pPr>
              <w:rPr>
                <w:rFonts w:ascii="仿宋" w:hAnsi="仿宋" w:eastAsia="仿宋"/>
                <w:b/>
                <w:bCs/>
                <w:color w:val="auto"/>
                <w:sz w:val="22"/>
              </w:rPr>
            </w:pPr>
            <w:r>
              <w:rPr>
                <w:rFonts w:hint="eastAsia" w:ascii="仿宋" w:hAnsi="仿宋" w:eastAsia="仿宋"/>
                <w:b/>
                <w:bCs/>
                <w:color w:val="auto"/>
                <w:sz w:val="22"/>
              </w:rPr>
              <w:t>县（市、区）物业主管部门确认。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134" w:type="dxa"/>
            <w:vMerge w:val="continue"/>
            <w:vAlign w:val="center"/>
          </w:tcPr>
          <w:p>
            <w:pPr>
              <w:pStyle w:val="8"/>
              <w:rPr>
                <w:rFonts w:ascii="黑体" w:hAnsi="黑体" w:eastAsia="黑体"/>
                <w:b/>
                <w:bCs/>
                <w:color w:val="auto"/>
                <w:sz w:val="24"/>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上级政策落实执行情况</w:t>
            </w:r>
          </w:p>
          <w:p>
            <w:pPr>
              <w:pStyle w:val="8"/>
              <w:spacing w:line="340" w:lineRule="exact"/>
              <w:jc w:val="center"/>
              <w:rPr>
                <w:color w:val="auto"/>
              </w:rPr>
            </w:pPr>
            <w:r>
              <w:rPr>
                <w:rFonts w:hint="eastAsia" w:asciiTheme="minorEastAsia" w:hAnsiTheme="minorEastAsia"/>
                <w:b/>
                <w:bCs/>
                <w:color w:val="auto"/>
                <w:sz w:val="22"/>
              </w:rPr>
              <w:t>（3分）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县市区物业主管部门对辖区物管小区落实市、县两级物业主管部门下发的政策文件、意见办法等情况，第一档得3分，第二档得2分，第三档得1分。物业服务企业承揽多个物业服务项目的取平均分。</w:t>
            </w:r>
          </w:p>
        </w:tc>
        <w:tc>
          <w:tcPr>
            <w:tcW w:w="1436"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134" w:type="dxa"/>
            <w:vMerge w:val="restart"/>
            <w:vAlign w:val="center"/>
          </w:tcPr>
          <w:p>
            <w:pPr>
              <w:jc w:val="center"/>
              <w:rPr>
                <w:rFonts w:ascii="黑体" w:hAnsi="黑体" w:eastAsia="黑体"/>
                <w:b/>
                <w:bCs/>
                <w:color w:val="auto"/>
                <w:sz w:val="24"/>
              </w:rPr>
            </w:pPr>
            <w:r>
              <w:rPr>
                <w:rFonts w:hint="eastAsia" w:ascii="黑体" w:hAnsi="黑体" w:eastAsia="黑体"/>
                <w:b/>
                <w:bCs/>
                <w:color w:val="auto"/>
                <w:sz w:val="24"/>
              </w:rPr>
              <w:t>街道社区物业管理</w:t>
            </w:r>
          </w:p>
          <w:p>
            <w:pPr>
              <w:jc w:val="center"/>
              <w:rPr>
                <w:rFonts w:ascii="黑体" w:hAnsi="黑体" w:eastAsia="黑体"/>
                <w:b/>
                <w:bCs/>
                <w:color w:val="auto"/>
                <w:sz w:val="24"/>
              </w:rPr>
            </w:pPr>
            <w:r>
              <w:rPr>
                <w:rFonts w:hint="eastAsia" w:ascii="黑体" w:hAnsi="黑体" w:eastAsia="黑体"/>
                <w:b/>
                <w:bCs/>
                <w:color w:val="auto"/>
                <w:sz w:val="24"/>
              </w:rPr>
              <w:t>（14分）</w:t>
            </w: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向社区报告制度</w:t>
            </w:r>
          </w:p>
          <w:p>
            <w:pPr>
              <w:pStyle w:val="8"/>
              <w:spacing w:line="340" w:lineRule="exact"/>
              <w:rPr>
                <w:color w:val="auto"/>
              </w:rPr>
            </w:pPr>
            <w:r>
              <w:rPr>
                <w:rFonts w:hint="eastAsia" w:asciiTheme="minorEastAsia" w:hAnsiTheme="minorEastAsia"/>
                <w:b/>
                <w:bCs/>
                <w:color w:val="auto"/>
                <w:sz w:val="22"/>
              </w:rPr>
              <w:t>（3分）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物业服务项目建立向社区居委会年报告制度的，得1分；季报告制度的，得2分；月报告制度的，得3分。物业服务企业承揽多个物业服务项目的取平均分。</w:t>
            </w:r>
          </w:p>
        </w:tc>
        <w:tc>
          <w:tcPr>
            <w:tcW w:w="1436" w:type="dxa"/>
            <w:vMerge w:val="restart"/>
            <w:vAlign w:val="center"/>
          </w:tcPr>
          <w:p>
            <w:pPr>
              <w:rPr>
                <w:rFonts w:ascii="仿宋" w:hAnsi="仿宋" w:eastAsia="仿宋"/>
                <w:b/>
                <w:bCs/>
                <w:color w:val="auto"/>
                <w:sz w:val="22"/>
              </w:rPr>
            </w:pPr>
            <w:r>
              <w:rPr>
                <w:rFonts w:hint="eastAsia" w:ascii="仿宋" w:hAnsi="仿宋" w:eastAsia="仿宋"/>
                <w:b/>
                <w:bCs/>
                <w:color w:val="auto"/>
                <w:sz w:val="22"/>
              </w:rPr>
              <w:t>街道（镇）社区确认。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34" w:type="dxa"/>
            <w:vMerge w:val="continue"/>
            <w:vAlign w:val="center"/>
          </w:tcPr>
          <w:p>
            <w:pPr>
              <w:jc w:val="center"/>
              <w:rPr>
                <w:rFonts w:ascii="黑体" w:hAnsi="黑体" w:eastAsia="黑体"/>
                <w:b/>
                <w:bCs/>
                <w:color w:val="auto"/>
                <w:sz w:val="24"/>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群众诉求办理</w:t>
            </w:r>
          </w:p>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（3分）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业主、物业使用人在向街道社区提出物业管理方面合理诉求时，物业企业积极配合办理的，视情况得1-3分。未提出相关诉求的，得3分。物业服务企业承揽多个物业服务项目的取平均分。</w:t>
            </w:r>
          </w:p>
        </w:tc>
        <w:tc>
          <w:tcPr>
            <w:tcW w:w="1436"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34" w:type="dxa"/>
            <w:vMerge w:val="continue"/>
            <w:vAlign w:val="center"/>
          </w:tcPr>
          <w:p>
            <w:pPr>
              <w:rPr>
                <w:rFonts w:ascii="黑体" w:hAnsi="黑体" w:eastAsia="黑体"/>
                <w:b/>
                <w:bCs/>
                <w:color w:val="auto"/>
                <w:sz w:val="24"/>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配合街道社区活动</w:t>
            </w:r>
          </w:p>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（3分）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配合街道社区开展文明创建、公益性等活动的，视情况得1-3分，未开展此项工作的不得分。物业服务企业承揽多个物业服务项目的取平均分。</w:t>
            </w:r>
          </w:p>
        </w:tc>
        <w:tc>
          <w:tcPr>
            <w:tcW w:w="1436"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134" w:type="dxa"/>
            <w:vMerge w:val="continue"/>
            <w:vAlign w:val="center"/>
          </w:tcPr>
          <w:p>
            <w:pPr>
              <w:jc w:val="center"/>
              <w:rPr>
                <w:rFonts w:ascii="黑体" w:hAnsi="黑体" w:eastAsia="黑体"/>
                <w:b/>
                <w:bCs/>
                <w:color w:val="auto"/>
                <w:sz w:val="24"/>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认领社区服务项目</w:t>
            </w:r>
          </w:p>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（2分）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物管小区党组织与社区党组织签订党建联建协议，认领1 个党建服务项目，得1分，累计最高不超过2分。物业服务企业承揽多个物业服务项目的取平均分。</w:t>
            </w:r>
          </w:p>
        </w:tc>
        <w:tc>
          <w:tcPr>
            <w:tcW w:w="1436"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134" w:type="dxa"/>
            <w:vMerge w:val="continue"/>
            <w:vAlign w:val="center"/>
          </w:tcPr>
          <w:p>
            <w:pPr>
              <w:jc w:val="center"/>
              <w:rPr>
                <w:rFonts w:ascii="黑体" w:hAnsi="黑体" w:eastAsia="黑体"/>
                <w:b/>
                <w:bCs/>
                <w:color w:val="auto"/>
                <w:sz w:val="20"/>
                <w:szCs w:val="20"/>
              </w:rPr>
            </w:pPr>
          </w:p>
        </w:tc>
        <w:tc>
          <w:tcPr>
            <w:tcW w:w="1147" w:type="dxa"/>
            <w:vAlign w:val="center"/>
          </w:tcPr>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重点工作落实</w:t>
            </w:r>
          </w:p>
          <w:p>
            <w:pPr>
              <w:spacing w:line="340" w:lineRule="exact"/>
              <w:jc w:val="center"/>
              <w:rPr>
                <w:rFonts w:asciiTheme="minorEastAsia" w:hAnsiTheme="minorEastAsia"/>
                <w:b/>
                <w:bCs/>
                <w:color w:val="auto"/>
                <w:sz w:val="22"/>
              </w:rPr>
            </w:pPr>
            <w:r>
              <w:rPr>
                <w:rFonts w:hint="eastAsia" w:asciiTheme="minorEastAsia" w:hAnsiTheme="minorEastAsia"/>
                <w:b/>
                <w:bCs/>
                <w:color w:val="auto"/>
                <w:sz w:val="22"/>
              </w:rPr>
              <w:t>（3分）</w:t>
            </w:r>
          </w:p>
        </w:tc>
        <w:tc>
          <w:tcPr>
            <w:tcW w:w="4785" w:type="dxa"/>
            <w:vAlign w:val="center"/>
          </w:tcPr>
          <w:p>
            <w:pPr>
              <w:rPr>
                <w:rFonts w:ascii="仿宋" w:hAnsi="仿宋" w:eastAsia="仿宋"/>
                <w:b/>
                <w:bCs/>
                <w:color w:val="auto"/>
                <w:sz w:val="22"/>
              </w:rPr>
            </w:pPr>
            <w:r>
              <w:rPr>
                <w:rFonts w:hint="eastAsia" w:ascii="仿宋" w:hAnsi="仿宋" w:eastAsia="仿宋"/>
                <w:b/>
                <w:bCs/>
                <w:color w:val="auto"/>
                <w:sz w:val="22"/>
              </w:rPr>
              <w:t>配合街道社区开展重点工作的，视工作情况得1-3分。如及时报送小区人员、设施等基本情况，参与人口普查、经济普查等工作。</w:t>
            </w:r>
          </w:p>
        </w:tc>
        <w:tc>
          <w:tcPr>
            <w:tcW w:w="1436" w:type="dxa"/>
            <w:vMerge w:val="continue"/>
            <w:vAlign w:val="center"/>
          </w:tcPr>
          <w:p>
            <w:pPr>
              <w:rPr>
                <w:rFonts w:ascii="仿宋" w:hAnsi="仿宋" w:eastAsia="仿宋"/>
                <w:b/>
                <w:bCs/>
                <w:color w:val="auto"/>
                <w:sz w:val="22"/>
              </w:rPr>
            </w:pPr>
          </w:p>
        </w:tc>
      </w:tr>
    </w:tbl>
    <w:p>
      <w:pPr>
        <w:pStyle w:val="2"/>
        <w:ind w:firstLine="0"/>
        <w:jc w:val="center"/>
        <w:rPr>
          <w:rFonts w:ascii="黑体" w:hAnsi="黑体" w:eastAsia="黑体"/>
          <w:b/>
          <w:bCs/>
          <w:color w:val="auto"/>
          <w:sz w:val="32"/>
          <w:szCs w:val="32"/>
        </w:rPr>
      </w:pPr>
      <w:r>
        <w:rPr>
          <w:rFonts w:hint="eastAsia" w:ascii="黑体" w:hAnsi="黑体" w:eastAsia="黑体"/>
          <w:b/>
          <w:bCs/>
          <w:color w:val="auto"/>
          <w:sz w:val="32"/>
          <w:szCs w:val="32"/>
        </w:rPr>
        <w:t>甲类 非住宅项目绩效信用信息（共60分）</w:t>
      </w:r>
    </w:p>
    <w:p>
      <w:pPr>
        <w:jc w:val="center"/>
        <w:rPr>
          <w:rFonts w:ascii="黑体" w:hAnsi="黑体" w:eastAsia="黑体" w:cs="黑体"/>
          <w:b/>
          <w:bCs/>
          <w:color w:val="auto"/>
        </w:rPr>
      </w:pPr>
    </w:p>
    <w:tbl>
      <w:tblPr>
        <w:tblStyle w:val="17"/>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21"/>
        <w:gridCol w:w="5568"/>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gridSpan w:val="2"/>
            <w:vAlign w:val="center"/>
          </w:tcPr>
          <w:p>
            <w:pPr>
              <w:jc w:val="center"/>
              <w:rPr>
                <w:rFonts w:ascii="黑体" w:hAnsi="黑体" w:eastAsia="黑体"/>
                <w:b/>
                <w:bCs/>
                <w:color w:val="auto"/>
                <w:sz w:val="24"/>
              </w:rPr>
            </w:pPr>
            <w:r>
              <w:rPr>
                <w:rFonts w:hint="eastAsia" w:ascii="黑体" w:hAnsi="黑体" w:eastAsia="黑体"/>
                <w:b/>
                <w:bCs/>
                <w:color w:val="auto"/>
                <w:sz w:val="24"/>
              </w:rPr>
              <w:t>类别</w:t>
            </w:r>
          </w:p>
        </w:tc>
        <w:tc>
          <w:tcPr>
            <w:tcW w:w="5568" w:type="dxa"/>
            <w:vAlign w:val="center"/>
          </w:tcPr>
          <w:p>
            <w:pPr>
              <w:jc w:val="center"/>
              <w:rPr>
                <w:rFonts w:ascii="黑体" w:hAnsi="黑体" w:eastAsia="黑体"/>
                <w:b/>
                <w:bCs/>
                <w:color w:val="auto"/>
                <w:sz w:val="24"/>
              </w:rPr>
            </w:pPr>
            <w:r>
              <w:rPr>
                <w:rFonts w:hint="eastAsia" w:ascii="黑体" w:hAnsi="黑体" w:eastAsia="黑体"/>
                <w:b/>
                <w:bCs/>
                <w:color w:val="auto"/>
                <w:sz w:val="24"/>
              </w:rPr>
              <w:t>评分标准</w:t>
            </w:r>
          </w:p>
        </w:tc>
        <w:tc>
          <w:tcPr>
            <w:tcW w:w="1193" w:type="dxa"/>
            <w:vAlign w:val="center"/>
          </w:tcPr>
          <w:p>
            <w:pPr>
              <w:jc w:val="center"/>
              <w:rPr>
                <w:rFonts w:ascii="黑体" w:hAnsi="黑体" w:eastAsia="黑体"/>
                <w:b/>
                <w:bCs/>
                <w:color w:val="auto"/>
                <w:sz w:val="24"/>
              </w:rPr>
            </w:pPr>
            <w:r>
              <w:rPr>
                <w:rFonts w:hint="eastAsia" w:ascii="黑体" w:hAnsi="黑体" w:eastAsia="黑体"/>
                <w:b/>
                <w:bCs/>
                <w:color w:val="auto"/>
                <w:sz w:val="24"/>
              </w:rPr>
              <w:t>录入及认定单位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pPr>
              <w:jc w:val="center"/>
              <w:rPr>
                <w:rFonts w:ascii="黑体" w:hAnsi="黑体" w:eastAsia="黑体"/>
                <w:b/>
                <w:bCs/>
                <w:color w:val="auto"/>
                <w:sz w:val="24"/>
              </w:rPr>
            </w:pPr>
            <w:r>
              <w:rPr>
                <w:rFonts w:hint="eastAsia" w:ascii="黑体" w:hAnsi="黑体" w:eastAsia="黑体"/>
                <w:b/>
                <w:bCs/>
                <w:color w:val="auto"/>
                <w:sz w:val="24"/>
              </w:rPr>
              <w:t>承接查验与服务合同签订</w:t>
            </w:r>
          </w:p>
          <w:p>
            <w:pPr>
              <w:jc w:val="center"/>
              <w:rPr>
                <w:rFonts w:ascii="仿宋_GB2312" w:hAnsi="仿宋_GB2312" w:eastAsia="仿宋_GB2312" w:cs="仿宋_GB2312"/>
                <w:color w:val="auto"/>
                <w:sz w:val="28"/>
                <w:szCs w:val="28"/>
              </w:rPr>
            </w:pPr>
            <w:r>
              <w:rPr>
                <w:rFonts w:hint="eastAsia" w:ascii="黑体" w:hAnsi="黑体" w:eastAsia="黑体"/>
                <w:b/>
                <w:bCs/>
                <w:color w:val="auto"/>
                <w:sz w:val="24"/>
              </w:rPr>
              <w:t>（10分）</w:t>
            </w:r>
          </w:p>
        </w:tc>
        <w:tc>
          <w:tcPr>
            <w:tcW w:w="1221"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承接查验情况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（4分）</w:t>
            </w:r>
          </w:p>
        </w:tc>
        <w:tc>
          <w:tcPr>
            <w:tcW w:w="5568" w:type="dxa"/>
            <w:vAlign w:val="center"/>
          </w:tcPr>
          <w:p>
            <w:pPr>
              <w:spacing w:line="280" w:lineRule="exact"/>
              <w:rPr>
                <w:rFonts w:ascii="仿宋" w:hAnsi="仿宋" w:eastAsia="仿宋"/>
                <w:b/>
                <w:bCs/>
                <w:color w:val="auto"/>
                <w:sz w:val="22"/>
              </w:rPr>
            </w:pPr>
            <w:r>
              <w:rPr>
                <w:rFonts w:hint="eastAsia" w:ascii="仿宋" w:hAnsi="仿宋" w:eastAsia="仿宋"/>
                <w:b/>
                <w:bCs/>
                <w:color w:val="auto"/>
                <w:sz w:val="22"/>
              </w:rPr>
              <w:t>在管项目履行承接查验手续，并签订承接查验协议书的，得2分；按照承接查验协议要求，开展承接查验工作，上传承接查验文件资料的，得2分。物业服务企业承揽多个物业服务项目的取平均分。</w:t>
            </w:r>
          </w:p>
        </w:tc>
        <w:tc>
          <w:tcPr>
            <w:tcW w:w="1193" w:type="dxa"/>
            <w:vMerge w:val="restart"/>
            <w:vAlign w:val="center"/>
          </w:tcPr>
          <w:p>
            <w:pPr>
              <w:rPr>
                <w:rFonts w:ascii="仿宋" w:hAnsi="仿宋" w:eastAsia="仿宋"/>
                <w:b/>
                <w:bCs/>
                <w:color w:val="auto"/>
                <w:sz w:val="22"/>
              </w:rPr>
            </w:pPr>
            <w:r>
              <w:rPr>
                <w:rFonts w:hint="eastAsia" w:ascii="仿宋" w:hAnsi="仿宋" w:eastAsia="仿宋"/>
                <w:b/>
                <w:bCs/>
                <w:color w:val="auto"/>
                <w:sz w:val="22"/>
              </w:rPr>
              <w:t>物业服务企业录入；县（市、区）物业主管部门确认。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spacing w:line="400" w:lineRule="exact"/>
              <w:jc w:val="center"/>
              <w:rPr>
                <w:rFonts w:ascii="仿宋_GB2312" w:hAnsi="仿宋_GB2312" w:eastAsia="仿宋_GB2312" w:cs="仿宋_GB2312"/>
                <w:color w:val="auto"/>
                <w:sz w:val="28"/>
                <w:szCs w:val="28"/>
              </w:rPr>
            </w:pPr>
          </w:p>
        </w:tc>
        <w:tc>
          <w:tcPr>
            <w:tcW w:w="1221"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物业服务合同履约</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（6分）</w:t>
            </w:r>
          </w:p>
        </w:tc>
        <w:tc>
          <w:tcPr>
            <w:tcW w:w="5568" w:type="dxa"/>
            <w:vAlign w:val="center"/>
          </w:tcPr>
          <w:p>
            <w:pPr>
              <w:spacing w:line="280" w:lineRule="exact"/>
              <w:rPr>
                <w:rFonts w:ascii="仿宋" w:hAnsi="仿宋" w:eastAsia="仿宋"/>
                <w:b/>
                <w:bCs/>
                <w:color w:val="auto"/>
                <w:sz w:val="22"/>
              </w:rPr>
            </w:pPr>
            <w:r>
              <w:rPr>
                <w:rFonts w:hint="eastAsia" w:ascii="仿宋" w:hAnsi="仿宋" w:eastAsia="仿宋"/>
                <w:b/>
                <w:bCs/>
                <w:color w:val="auto"/>
                <w:sz w:val="22"/>
              </w:rPr>
              <w:t>由一家物业服务企业统一实施专业化管理，签订有效期内物业服务合同的，得2分；每年进行一次业主全覆盖满意度调查，并根据调查结果提出整改方案的，得4分。物业服务企业承揽多个物业服务项目的取平均分。</w:t>
            </w:r>
          </w:p>
        </w:tc>
        <w:tc>
          <w:tcPr>
            <w:tcW w:w="1193"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pPr>
              <w:jc w:val="center"/>
              <w:rPr>
                <w:rFonts w:ascii="黑体" w:hAnsi="黑体" w:eastAsia="黑体"/>
                <w:b/>
                <w:bCs/>
                <w:color w:val="auto"/>
                <w:sz w:val="24"/>
              </w:rPr>
            </w:pPr>
            <w:r>
              <w:rPr>
                <w:rFonts w:hint="eastAsia" w:ascii="黑体" w:hAnsi="黑体" w:eastAsia="黑体"/>
                <w:b/>
                <w:bCs/>
                <w:color w:val="auto"/>
                <w:sz w:val="24"/>
              </w:rPr>
              <w:t>项目服务质量</w:t>
            </w:r>
          </w:p>
          <w:p>
            <w:pPr>
              <w:jc w:val="center"/>
              <w:rPr>
                <w:rFonts w:ascii="黑体" w:hAnsi="黑体" w:eastAsia="黑体"/>
                <w:b/>
                <w:bCs/>
                <w:color w:val="auto"/>
                <w:sz w:val="24"/>
              </w:rPr>
            </w:pPr>
            <w:r>
              <w:rPr>
                <w:rFonts w:hint="eastAsia" w:ascii="黑体" w:hAnsi="黑体" w:eastAsia="黑体"/>
                <w:b/>
                <w:bCs/>
                <w:color w:val="auto"/>
                <w:sz w:val="24"/>
              </w:rPr>
              <w:t>（40分）</w:t>
            </w:r>
          </w:p>
        </w:tc>
        <w:tc>
          <w:tcPr>
            <w:tcW w:w="1221"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公示公开情况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（5分）</w:t>
            </w:r>
          </w:p>
        </w:tc>
        <w:tc>
          <w:tcPr>
            <w:tcW w:w="5568" w:type="dxa"/>
            <w:vAlign w:val="center"/>
          </w:tcPr>
          <w:p>
            <w:pPr>
              <w:spacing w:line="280" w:lineRule="exact"/>
              <w:rPr>
                <w:rFonts w:ascii="仿宋" w:hAnsi="仿宋" w:eastAsia="仿宋"/>
                <w:b/>
                <w:bCs/>
                <w:color w:val="auto"/>
                <w:sz w:val="22"/>
              </w:rPr>
            </w:pPr>
            <w:r>
              <w:rPr>
                <w:rFonts w:hint="eastAsia" w:ascii="仿宋" w:hAnsi="仿宋" w:eastAsia="仿宋"/>
                <w:b/>
                <w:bCs/>
                <w:color w:val="auto"/>
                <w:sz w:val="22"/>
              </w:rPr>
              <w:t>在物业服务项目公告栏、物业服务中心等显著位置，公开物业服务标准的，得1分；公开投诉渠道和方式的，得1分；公开公共收益信息的，得1分；公开消防安全责任人和管理人员的，得1分；公开物业服务工作时间的，得1分。物业服务企业承揽多个物业服务项目的取平均分。</w:t>
            </w:r>
          </w:p>
        </w:tc>
        <w:tc>
          <w:tcPr>
            <w:tcW w:w="1193" w:type="dxa"/>
            <w:vMerge w:val="restart"/>
            <w:vAlign w:val="center"/>
          </w:tcPr>
          <w:p>
            <w:pPr>
              <w:rPr>
                <w:rFonts w:ascii="仿宋" w:hAnsi="仿宋" w:eastAsia="仿宋"/>
                <w:b/>
                <w:bCs/>
                <w:color w:val="auto"/>
                <w:sz w:val="22"/>
              </w:rPr>
            </w:pPr>
            <w:r>
              <w:rPr>
                <w:rFonts w:hint="eastAsia" w:ascii="仿宋" w:hAnsi="仿宋" w:eastAsia="仿宋"/>
                <w:b/>
                <w:bCs/>
                <w:color w:val="auto"/>
                <w:sz w:val="22"/>
              </w:rPr>
              <w:t>物业服务企业录入；</w:t>
            </w:r>
          </w:p>
          <w:p>
            <w:pPr>
              <w:rPr>
                <w:rFonts w:ascii="仿宋" w:hAnsi="仿宋" w:eastAsia="仿宋"/>
                <w:b/>
                <w:bCs/>
                <w:color w:val="auto"/>
                <w:sz w:val="22"/>
              </w:rPr>
            </w:pPr>
            <w:r>
              <w:rPr>
                <w:rFonts w:hint="eastAsia" w:ascii="仿宋" w:hAnsi="仿宋" w:eastAsia="仿宋"/>
                <w:b/>
                <w:bCs/>
                <w:color w:val="auto"/>
                <w:sz w:val="22"/>
              </w:rPr>
              <w:t>县（市、区）物业主管部门确认。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jc w:val="center"/>
              <w:rPr>
                <w:rFonts w:ascii="黑体" w:hAnsi="黑体" w:eastAsia="黑体"/>
                <w:b/>
                <w:bCs/>
                <w:color w:val="auto"/>
                <w:sz w:val="24"/>
              </w:rPr>
            </w:pPr>
          </w:p>
        </w:tc>
        <w:tc>
          <w:tcPr>
            <w:tcW w:w="1221"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四保一服情况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（10分）</w:t>
            </w:r>
          </w:p>
        </w:tc>
        <w:tc>
          <w:tcPr>
            <w:tcW w:w="5568" w:type="dxa"/>
            <w:vAlign w:val="center"/>
          </w:tcPr>
          <w:p>
            <w:pPr>
              <w:spacing w:line="280" w:lineRule="exact"/>
              <w:rPr>
                <w:rFonts w:ascii="仿宋" w:hAnsi="仿宋" w:eastAsia="仿宋"/>
                <w:b/>
                <w:bCs/>
                <w:color w:val="auto"/>
                <w:sz w:val="22"/>
              </w:rPr>
            </w:pPr>
            <w:r>
              <w:rPr>
                <w:rFonts w:hint="eastAsia" w:ascii="仿宋" w:hAnsi="仿宋" w:eastAsia="仿宋"/>
                <w:b/>
                <w:bCs/>
                <w:color w:val="auto"/>
                <w:sz w:val="22"/>
              </w:rPr>
              <w:t>保安、保洁、保绿、保修、客户服务事项符合合同约定服务标准的，以物业服务各项工作留存档案得分，各得2分，累加最高不超过10分。物业服务企业承揽多个物业服务项目的取平均分。</w:t>
            </w:r>
          </w:p>
        </w:tc>
        <w:tc>
          <w:tcPr>
            <w:tcW w:w="1193"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jc w:val="center"/>
              <w:rPr>
                <w:rFonts w:ascii="黑体" w:hAnsi="黑体" w:eastAsia="黑体"/>
                <w:b/>
                <w:bCs/>
                <w:color w:val="auto"/>
                <w:sz w:val="24"/>
              </w:rPr>
            </w:pPr>
          </w:p>
        </w:tc>
        <w:tc>
          <w:tcPr>
            <w:tcW w:w="1221"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制度建设情况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（10分）</w:t>
            </w:r>
          </w:p>
        </w:tc>
        <w:tc>
          <w:tcPr>
            <w:tcW w:w="5568" w:type="dxa"/>
            <w:vAlign w:val="center"/>
          </w:tcPr>
          <w:p>
            <w:pPr>
              <w:spacing w:line="280" w:lineRule="exact"/>
              <w:rPr>
                <w:rFonts w:ascii="仿宋" w:hAnsi="仿宋" w:eastAsia="仿宋"/>
                <w:b/>
                <w:bCs/>
                <w:color w:val="auto"/>
                <w:sz w:val="22"/>
              </w:rPr>
            </w:pPr>
            <w:r>
              <w:rPr>
                <w:rFonts w:hint="eastAsia" w:ascii="仿宋" w:hAnsi="仿宋" w:eastAsia="仿宋"/>
                <w:b/>
                <w:bCs/>
                <w:color w:val="auto"/>
                <w:sz w:val="22"/>
              </w:rPr>
              <w:t>建立各项管理制度、岗位职责和监督管理职责，各得2分，累加最高不超过6分；每半年至少开展一次岗位技能培训和职业道德培训等信息，一次得2分，累加最高不超过4分。物业服务企业承揽多个物业服务项目的取平均分。</w:t>
            </w:r>
          </w:p>
        </w:tc>
        <w:tc>
          <w:tcPr>
            <w:tcW w:w="1193"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jc w:val="center"/>
              <w:rPr>
                <w:rFonts w:ascii="黑体" w:hAnsi="黑体" w:eastAsia="黑体"/>
                <w:b/>
                <w:bCs/>
                <w:color w:val="auto"/>
                <w:sz w:val="24"/>
              </w:rPr>
            </w:pPr>
          </w:p>
        </w:tc>
        <w:tc>
          <w:tcPr>
            <w:tcW w:w="1221"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装饰装修管理</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（5分）</w:t>
            </w:r>
          </w:p>
        </w:tc>
        <w:tc>
          <w:tcPr>
            <w:tcW w:w="5568" w:type="dxa"/>
            <w:vAlign w:val="center"/>
          </w:tcPr>
          <w:p>
            <w:pPr>
              <w:spacing w:line="280" w:lineRule="exact"/>
              <w:rPr>
                <w:rFonts w:ascii="仿宋" w:hAnsi="仿宋" w:eastAsia="仿宋"/>
                <w:b/>
                <w:bCs/>
                <w:color w:val="auto"/>
                <w:sz w:val="22"/>
              </w:rPr>
            </w:pPr>
            <w:r>
              <w:rPr>
                <w:rFonts w:hint="eastAsia" w:ascii="仿宋" w:hAnsi="仿宋" w:eastAsia="仿宋"/>
                <w:b/>
                <w:bCs/>
                <w:color w:val="auto"/>
                <w:sz w:val="22"/>
              </w:rPr>
              <w:t>签订装修协议的，得1分；装修申请、审核、监管、验收等记录完备的，得2分；对违规装饰装修的有劝阻制止证明材料及书面报告相关主管部门证明材料的，得2分。物业服务企业承揽多个物业服务项目的取平均分。</w:t>
            </w:r>
          </w:p>
        </w:tc>
        <w:tc>
          <w:tcPr>
            <w:tcW w:w="1193"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jc w:val="center"/>
              <w:rPr>
                <w:rFonts w:ascii="黑体" w:hAnsi="黑体" w:eastAsia="黑体"/>
                <w:b/>
                <w:bCs/>
                <w:color w:val="auto"/>
                <w:sz w:val="24"/>
              </w:rPr>
            </w:pPr>
          </w:p>
        </w:tc>
        <w:tc>
          <w:tcPr>
            <w:tcW w:w="1221"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应急预案</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（10分）</w:t>
            </w:r>
          </w:p>
        </w:tc>
        <w:tc>
          <w:tcPr>
            <w:tcW w:w="5568" w:type="dxa"/>
            <w:vAlign w:val="center"/>
          </w:tcPr>
          <w:p>
            <w:pPr>
              <w:spacing w:line="280" w:lineRule="exact"/>
              <w:rPr>
                <w:rFonts w:ascii="仿宋" w:hAnsi="仿宋" w:eastAsia="仿宋"/>
                <w:b/>
                <w:bCs/>
                <w:color w:val="auto"/>
                <w:sz w:val="22"/>
              </w:rPr>
            </w:pPr>
            <w:r>
              <w:rPr>
                <w:rFonts w:hint="eastAsia" w:ascii="仿宋" w:hAnsi="仿宋" w:eastAsia="仿宋"/>
                <w:b/>
                <w:bCs/>
                <w:color w:val="auto"/>
                <w:sz w:val="22"/>
              </w:rPr>
              <w:t>制定消防、电、气、水、热、电梯、特殊天气、特殊作业等各项预案的，得6分；每年进行应急预案日常演练，得4分。物业服务企业承揽多个物业服务项目的取平均分。</w:t>
            </w:r>
          </w:p>
        </w:tc>
        <w:tc>
          <w:tcPr>
            <w:tcW w:w="1193"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pPr>
              <w:jc w:val="center"/>
              <w:rPr>
                <w:rFonts w:ascii="黑体" w:hAnsi="黑体" w:eastAsia="黑体"/>
                <w:b/>
                <w:bCs/>
                <w:color w:val="auto"/>
                <w:sz w:val="24"/>
              </w:rPr>
            </w:pPr>
            <w:r>
              <w:rPr>
                <w:rFonts w:hint="eastAsia" w:ascii="黑体" w:hAnsi="黑体" w:eastAsia="黑体"/>
                <w:b/>
                <w:bCs/>
                <w:color w:val="auto"/>
                <w:sz w:val="24"/>
              </w:rPr>
              <w:t>项目创新、创优、降本增效</w:t>
            </w:r>
          </w:p>
          <w:p>
            <w:pPr>
              <w:jc w:val="center"/>
              <w:rPr>
                <w:rFonts w:ascii="黑体" w:hAnsi="黑体" w:eastAsia="黑体"/>
                <w:b/>
                <w:bCs/>
                <w:color w:val="auto"/>
                <w:sz w:val="24"/>
              </w:rPr>
            </w:pPr>
            <w:r>
              <w:rPr>
                <w:rFonts w:hint="eastAsia" w:ascii="黑体" w:hAnsi="黑体" w:eastAsia="黑体"/>
                <w:b/>
                <w:bCs/>
                <w:color w:val="auto"/>
                <w:sz w:val="24"/>
              </w:rPr>
              <w:t>（10分）</w:t>
            </w:r>
          </w:p>
        </w:tc>
        <w:tc>
          <w:tcPr>
            <w:tcW w:w="1221"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精细化服务信息（4分）</w:t>
            </w:r>
          </w:p>
        </w:tc>
        <w:tc>
          <w:tcPr>
            <w:tcW w:w="5568" w:type="dxa"/>
            <w:vAlign w:val="center"/>
          </w:tcPr>
          <w:p>
            <w:pPr>
              <w:spacing w:line="280" w:lineRule="exact"/>
              <w:rPr>
                <w:rFonts w:ascii="仿宋" w:hAnsi="仿宋" w:eastAsia="仿宋"/>
                <w:b/>
                <w:bCs/>
                <w:color w:val="auto"/>
                <w:sz w:val="22"/>
              </w:rPr>
            </w:pPr>
            <w:r>
              <w:rPr>
                <w:rFonts w:hint="eastAsia" w:ascii="仿宋" w:hAnsi="仿宋" w:eastAsia="仿宋"/>
                <w:b/>
                <w:bCs/>
                <w:color w:val="auto"/>
                <w:sz w:val="22"/>
              </w:rPr>
              <w:t>每年用心开展一项精细化服务，提高物业服务水平的，得4分。物业服务企业承揽多个物业服务项目的取平均分。</w:t>
            </w:r>
          </w:p>
        </w:tc>
        <w:tc>
          <w:tcPr>
            <w:tcW w:w="1193" w:type="dxa"/>
            <w:vMerge w:val="restart"/>
            <w:vAlign w:val="center"/>
          </w:tcPr>
          <w:p>
            <w:pPr>
              <w:rPr>
                <w:rFonts w:ascii="仿宋" w:hAnsi="仿宋" w:eastAsia="仿宋"/>
                <w:b/>
                <w:bCs/>
                <w:color w:val="auto"/>
                <w:sz w:val="22"/>
              </w:rPr>
            </w:pPr>
            <w:r>
              <w:rPr>
                <w:rFonts w:hint="eastAsia" w:ascii="仿宋" w:hAnsi="仿宋" w:eastAsia="仿宋"/>
                <w:b/>
                <w:bCs/>
                <w:color w:val="auto"/>
                <w:sz w:val="22"/>
              </w:rPr>
              <w:t>物业服务企业录入；县（市、区）物业主管部门确认。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spacing w:line="400" w:lineRule="exact"/>
              <w:jc w:val="center"/>
              <w:rPr>
                <w:rFonts w:ascii="仿宋_GB2312" w:hAnsi="仿宋_GB2312" w:eastAsia="仿宋_GB2312" w:cs="仿宋_GB2312"/>
                <w:color w:val="auto"/>
                <w:sz w:val="28"/>
                <w:szCs w:val="28"/>
              </w:rPr>
            </w:pPr>
          </w:p>
        </w:tc>
        <w:tc>
          <w:tcPr>
            <w:tcW w:w="1221"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智能化服务信息（4分）</w:t>
            </w:r>
          </w:p>
        </w:tc>
        <w:tc>
          <w:tcPr>
            <w:tcW w:w="5568" w:type="dxa"/>
            <w:vAlign w:val="center"/>
          </w:tcPr>
          <w:p>
            <w:pPr>
              <w:spacing w:line="280" w:lineRule="exact"/>
              <w:rPr>
                <w:rFonts w:ascii="仿宋" w:hAnsi="仿宋" w:eastAsia="仿宋"/>
                <w:b/>
                <w:bCs/>
                <w:color w:val="auto"/>
                <w:sz w:val="22"/>
              </w:rPr>
            </w:pPr>
            <w:r>
              <w:rPr>
                <w:rFonts w:hint="eastAsia" w:ascii="仿宋" w:hAnsi="仿宋" w:eastAsia="仿宋"/>
                <w:b/>
                <w:bCs/>
                <w:color w:val="auto"/>
                <w:sz w:val="22"/>
              </w:rPr>
              <w:t>每年用心开展一项智能化服务，提高物业服务水平的，得4分。物业服务企业承揽多个物业服务项目的取平均分。</w:t>
            </w:r>
          </w:p>
        </w:tc>
        <w:tc>
          <w:tcPr>
            <w:tcW w:w="1193"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pPr>
              <w:spacing w:line="400" w:lineRule="exact"/>
              <w:jc w:val="center"/>
              <w:rPr>
                <w:rFonts w:ascii="仿宋_GB2312" w:hAnsi="仿宋_GB2312" w:eastAsia="仿宋_GB2312" w:cs="仿宋_GB2312"/>
                <w:color w:val="auto"/>
                <w:sz w:val="28"/>
                <w:szCs w:val="28"/>
              </w:rPr>
            </w:pPr>
          </w:p>
        </w:tc>
        <w:tc>
          <w:tcPr>
            <w:tcW w:w="1221"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多种经营降本增效</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（2分）</w:t>
            </w:r>
          </w:p>
        </w:tc>
        <w:tc>
          <w:tcPr>
            <w:tcW w:w="5568" w:type="dxa"/>
            <w:vAlign w:val="center"/>
          </w:tcPr>
          <w:p>
            <w:pPr>
              <w:spacing w:line="280" w:lineRule="exact"/>
              <w:rPr>
                <w:rFonts w:ascii="仿宋" w:hAnsi="仿宋" w:eastAsia="仿宋"/>
                <w:b/>
                <w:bCs/>
                <w:color w:val="auto"/>
                <w:sz w:val="22"/>
              </w:rPr>
            </w:pPr>
            <w:r>
              <w:rPr>
                <w:rFonts w:hint="eastAsia" w:ascii="仿宋" w:hAnsi="仿宋" w:eastAsia="仿宋"/>
                <w:b/>
                <w:bCs/>
                <w:color w:val="auto"/>
                <w:sz w:val="22"/>
              </w:rPr>
              <w:t>积极开展多种经营，抵御经营风险的，得1分；通过品质提升设备改造，达到降本增效目的的，得1分。物业服务企业承揽多个物业服务项目的取平均分。</w:t>
            </w:r>
          </w:p>
        </w:tc>
        <w:tc>
          <w:tcPr>
            <w:tcW w:w="1193" w:type="dxa"/>
            <w:vMerge w:val="continue"/>
            <w:vAlign w:val="center"/>
          </w:tcPr>
          <w:p>
            <w:pPr>
              <w:rPr>
                <w:rFonts w:ascii="仿宋" w:hAnsi="仿宋" w:eastAsia="仿宋"/>
                <w:b/>
                <w:bCs/>
                <w:color w:val="auto"/>
                <w:sz w:val="22"/>
              </w:rPr>
            </w:pPr>
          </w:p>
        </w:tc>
      </w:tr>
    </w:tbl>
    <w:p>
      <w:pPr>
        <w:jc w:val="center"/>
        <w:rPr>
          <w:color w:val="auto"/>
        </w:rPr>
      </w:pPr>
      <w:r>
        <w:rPr>
          <w:rFonts w:ascii="黑体" w:hAnsi="黑体" w:eastAsia="黑体"/>
          <w:b/>
          <w:bCs/>
          <w:color w:val="auto"/>
          <w:sz w:val="32"/>
          <w:szCs w:val="32"/>
        </w:rPr>
        <w:br w:type="page"/>
      </w:r>
      <w:r>
        <w:rPr>
          <w:rFonts w:hint="eastAsia" w:ascii="黑体" w:hAnsi="黑体" w:eastAsia="黑体"/>
          <w:b/>
          <w:bCs/>
          <w:color w:val="auto"/>
          <w:sz w:val="32"/>
          <w:szCs w:val="32"/>
        </w:rPr>
        <w:t>乙类　企业优良信用信息（共60分）</w:t>
      </w:r>
    </w:p>
    <w:tbl>
      <w:tblPr>
        <w:tblStyle w:val="17"/>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082"/>
        <w:gridCol w:w="5668"/>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881" w:type="dxa"/>
            <w:gridSpan w:val="2"/>
            <w:vAlign w:val="center"/>
          </w:tcPr>
          <w:p>
            <w:pPr>
              <w:jc w:val="center"/>
              <w:rPr>
                <w:rFonts w:ascii="黑体" w:hAnsi="黑体" w:eastAsia="黑体"/>
                <w:b/>
                <w:bCs/>
                <w:color w:val="auto"/>
                <w:sz w:val="24"/>
              </w:rPr>
            </w:pPr>
            <w:r>
              <w:rPr>
                <w:rFonts w:hint="eastAsia" w:ascii="黑体" w:hAnsi="黑体" w:eastAsia="黑体"/>
                <w:b/>
                <w:bCs/>
                <w:color w:val="auto"/>
                <w:sz w:val="24"/>
              </w:rPr>
              <w:t>类别</w:t>
            </w:r>
          </w:p>
        </w:tc>
        <w:tc>
          <w:tcPr>
            <w:tcW w:w="5668" w:type="dxa"/>
            <w:vAlign w:val="center"/>
          </w:tcPr>
          <w:p>
            <w:pPr>
              <w:jc w:val="center"/>
              <w:rPr>
                <w:rFonts w:ascii="黑体" w:hAnsi="黑体" w:eastAsia="黑体"/>
                <w:b/>
                <w:bCs/>
                <w:color w:val="auto"/>
                <w:sz w:val="24"/>
              </w:rPr>
            </w:pPr>
            <w:r>
              <w:rPr>
                <w:rFonts w:hint="eastAsia" w:ascii="黑体" w:hAnsi="黑体" w:eastAsia="黑体"/>
                <w:b/>
                <w:bCs/>
                <w:color w:val="auto"/>
                <w:sz w:val="24"/>
              </w:rPr>
              <w:t>评分标准</w:t>
            </w:r>
          </w:p>
        </w:tc>
        <w:tc>
          <w:tcPr>
            <w:tcW w:w="1266" w:type="dxa"/>
            <w:vAlign w:val="center"/>
          </w:tcPr>
          <w:p>
            <w:pPr>
              <w:spacing w:line="240" w:lineRule="exact"/>
              <w:jc w:val="center"/>
              <w:rPr>
                <w:rFonts w:ascii="黑体" w:hAnsi="黑体" w:eastAsia="黑体"/>
                <w:b/>
                <w:bCs/>
                <w:color w:val="auto"/>
                <w:sz w:val="24"/>
              </w:rPr>
            </w:pPr>
            <w:r>
              <w:rPr>
                <w:rFonts w:hint="eastAsia" w:asciiTheme="minorEastAsia" w:hAnsiTheme="minorEastAsia"/>
                <w:b/>
                <w:bCs/>
                <w:color w:val="auto"/>
                <w:sz w:val="22"/>
              </w:rPr>
              <w:t>录入及认定单位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vMerge w:val="restart"/>
            <w:vAlign w:val="center"/>
          </w:tcPr>
          <w:p>
            <w:pPr>
              <w:spacing w:line="240" w:lineRule="exact"/>
              <w:jc w:val="center"/>
              <w:rPr>
                <w:rFonts w:ascii="黑体" w:hAnsi="黑体" w:eastAsia="黑体"/>
                <w:b/>
                <w:bCs/>
                <w:color w:val="auto"/>
                <w:sz w:val="24"/>
              </w:rPr>
            </w:pPr>
            <w:r>
              <w:rPr>
                <w:rFonts w:hint="eastAsia" w:ascii="黑体" w:hAnsi="黑体" w:eastAsia="黑体"/>
                <w:b/>
                <w:bCs/>
                <w:color w:val="auto"/>
                <w:sz w:val="24"/>
              </w:rPr>
              <w:t>企业运营管理</w:t>
            </w:r>
          </w:p>
          <w:p>
            <w:pPr>
              <w:pStyle w:val="8"/>
              <w:spacing w:line="240" w:lineRule="exact"/>
              <w:rPr>
                <w:color w:val="auto"/>
              </w:rPr>
            </w:pPr>
            <w:r>
              <w:rPr>
                <w:rFonts w:hint="eastAsia" w:ascii="黑体" w:hAnsi="黑体" w:eastAsia="黑体"/>
                <w:b/>
                <w:bCs/>
                <w:color w:val="auto"/>
                <w:sz w:val="24"/>
              </w:rPr>
              <w:t>（30分）</w:t>
            </w: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企业党建情况</w:t>
            </w:r>
          </w:p>
          <w:p>
            <w:pPr>
              <w:pStyle w:val="8"/>
              <w:spacing w:line="240" w:lineRule="exact"/>
              <w:jc w:val="center"/>
              <w:rPr>
                <w:color w:val="auto"/>
              </w:rPr>
            </w:pPr>
            <w:r>
              <w:rPr>
                <w:rFonts w:hint="eastAsia" w:asciiTheme="minorEastAsia" w:hAnsiTheme="minorEastAsia"/>
                <w:b/>
                <w:bCs/>
                <w:color w:val="auto"/>
                <w:sz w:val="22"/>
              </w:rPr>
              <w:t>（4分）</w:t>
            </w:r>
          </w:p>
        </w:tc>
        <w:tc>
          <w:tcPr>
            <w:tcW w:w="5668" w:type="dxa"/>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物业服务企业单独成立党组织的，得4分；未单独成立党组织，采取联合组建、社区党组织派遣党建指导员或成立党小组等形式实现党的组织覆盖的，得3分。</w:t>
            </w:r>
          </w:p>
        </w:tc>
        <w:tc>
          <w:tcPr>
            <w:tcW w:w="1266" w:type="dxa"/>
            <w:vMerge w:val="restart"/>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物业服务企业录入；</w:t>
            </w:r>
          </w:p>
          <w:p>
            <w:pPr>
              <w:spacing w:line="240" w:lineRule="exact"/>
              <w:rPr>
                <w:rFonts w:ascii="仿宋" w:hAnsi="仿宋" w:eastAsia="仿宋"/>
                <w:b/>
                <w:bCs/>
                <w:color w:val="auto"/>
                <w:sz w:val="22"/>
              </w:rPr>
            </w:pPr>
            <w:r>
              <w:rPr>
                <w:rFonts w:hint="eastAsia" w:ascii="仿宋" w:hAnsi="仿宋" w:eastAsia="仿宋"/>
                <w:b/>
                <w:bCs/>
                <w:color w:val="auto"/>
                <w:sz w:val="22"/>
              </w:rPr>
              <w:t>县（市、区）物业主管部门认定：市物业主管部门确认。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vMerge w:val="continue"/>
            <w:vAlign w:val="center"/>
          </w:tcPr>
          <w:p>
            <w:pPr>
              <w:spacing w:line="240" w:lineRule="exact"/>
              <w:rPr>
                <w:rFonts w:ascii="黑体" w:hAnsi="黑体" w:eastAsia="黑体"/>
                <w:b/>
                <w:bCs/>
                <w:color w:val="auto"/>
                <w:sz w:val="20"/>
                <w:szCs w:val="20"/>
              </w:rPr>
            </w:pP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诚信经营情况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（2分）</w:t>
            </w:r>
          </w:p>
        </w:tc>
        <w:tc>
          <w:tcPr>
            <w:tcW w:w="5668" w:type="dxa"/>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获得市场监管部门“价格诚信示范单位”、“放心消费创建示范单位”或“守合同重信用”企业称号的，称号有效期内各得0.5分。最高不超过</w:t>
            </w:r>
            <w:r>
              <w:rPr>
                <w:rFonts w:hint="eastAsia" w:ascii="仿宋" w:hAnsi="仿宋" w:eastAsia="仿宋"/>
                <w:b/>
                <w:bCs/>
                <w:color w:val="auto"/>
              </w:rPr>
              <w:t>2</w:t>
            </w:r>
            <w:r>
              <w:rPr>
                <w:rFonts w:hint="eastAsia" w:ascii="仿宋" w:hAnsi="仿宋" w:eastAsia="仿宋"/>
                <w:b/>
                <w:bCs/>
                <w:color w:val="auto"/>
                <w:sz w:val="22"/>
              </w:rPr>
              <w:t>分。</w:t>
            </w:r>
          </w:p>
        </w:tc>
        <w:tc>
          <w:tcPr>
            <w:tcW w:w="1266" w:type="dxa"/>
            <w:vMerge w:val="continue"/>
            <w:vAlign w:val="center"/>
          </w:tcPr>
          <w:p>
            <w:pPr>
              <w:spacing w:line="240" w:lineRule="exact"/>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99" w:type="dxa"/>
            <w:vMerge w:val="continue"/>
            <w:vAlign w:val="center"/>
          </w:tcPr>
          <w:p>
            <w:pPr>
              <w:spacing w:line="240" w:lineRule="exact"/>
              <w:rPr>
                <w:rFonts w:ascii="黑体" w:hAnsi="黑体" w:eastAsia="黑体"/>
                <w:b/>
                <w:bCs/>
                <w:color w:val="auto"/>
                <w:sz w:val="20"/>
                <w:szCs w:val="20"/>
              </w:rPr>
            </w:pP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服务规模情况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（5分）</w:t>
            </w:r>
          </w:p>
        </w:tc>
        <w:tc>
          <w:tcPr>
            <w:tcW w:w="5668" w:type="dxa"/>
            <w:vAlign w:val="center"/>
          </w:tcPr>
          <w:p>
            <w:pPr>
              <w:spacing w:line="240" w:lineRule="exact"/>
              <w:rPr>
                <w:rFonts w:ascii="仿宋" w:hAnsi="仿宋" w:eastAsia="仿宋"/>
                <w:b/>
                <w:bCs/>
                <w:color w:val="auto"/>
                <w:w w:val="90"/>
                <w:sz w:val="22"/>
              </w:rPr>
            </w:pPr>
            <w:r>
              <w:rPr>
                <w:rFonts w:hint="eastAsia" w:ascii="仿宋" w:hAnsi="仿宋" w:eastAsia="仿宋"/>
                <w:b/>
                <w:bCs/>
                <w:color w:val="auto"/>
                <w:w w:val="90"/>
                <w:sz w:val="22"/>
              </w:rPr>
              <w:t>实施全委托管理的，接管项目每累计5个得1分；实施专项委托管理的，接管项目每累计5个得0.5分；不足5个不得分，最高得</w:t>
            </w:r>
            <w:r>
              <w:rPr>
                <w:rFonts w:ascii="仿宋" w:hAnsi="仿宋" w:eastAsia="仿宋"/>
                <w:b/>
                <w:bCs/>
                <w:color w:val="auto"/>
                <w:w w:val="90"/>
                <w:sz w:val="22"/>
              </w:rPr>
              <w:t>2</w:t>
            </w:r>
            <w:r>
              <w:rPr>
                <w:rFonts w:hint="eastAsia" w:ascii="仿宋" w:hAnsi="仿宋" w:eastAsia="仿宋"/>
                <w:b/>
                <w:bCs/>
                <w:color w:val="auto"/>
                <w:w w:val="90"/>
                <w:sz w:val="22"/>
              </w:rPr>
              <w:t>分。实施全委托管理的，接管项目每累计</w:t>
            </w:r>
            <w:r>
              <w:rPr>
                <w:rFonts w:ascii="仿宋" w:hAnsi="仿宋" w:eastAsia="仿宋"/>
                <w:b/>
                <w:bCs/>
                <w:color w:val="auto"/>
                <w:w w:val="90"/>
                <w:sz w:val="22"/>
              </w:rPr>
              <w:t>10</w:t>
            </w:r>
            <w:r>
              <w:rPr>
                <w:rFonts w:hint="eastAsia" w:ascii="仿宋" w:hAnsi="仿宋" w:eastAsia="仿宋"/>
                <w:b/>
                <w:bCs/>
                <w:color w:val="auto"/>
                <w:w w:val="90"/>
                <w:sz w:val="22"/>
              </w:rPr>
              <w:t>万平方米得0.5分，不足</w:t>
            </w:r>
            <w:r>
              <w:rPr>
                <w:rFonts w:ascii="仿宋" w:hAnsi="仿宋" w:eastAsia="仿宋"/>
                <w:b/>
                <w:bCs/>
                <w:color w:val="auto"/>
                <w:w w:val="90"/>
                <w:sz w:val="22"/>
              </w:rPr>
              <w:t>10</w:t>
            </w:r>
            <w:r>
              <w:rPr>
                <w:rFonts w:hint="eastAsia" w:ascii="仿宋" w:hAnsi="仿宋" w:eastAsia="仿宋"/>
                <w:b/>
                <w:bCs/>
                <w:color w:val="auto"/>
                <w:w w:val="90"/>
                <w:sz w:val="22"/>
              </w:rPr>
              <w:t>万平方米不得分，最高得3分。</w:t>
            </w:r>
          </w:p>
        </w:tc>
        <w:tc>
          <w:tcPr>
            <w:tcW w:w="1266" w:type="dxa"/>
            <w:vMerge w:val="continue"/>
            <w:vAlign w:val="center"/>
          </w:tcPr>
          <w:p>
            <w:pPr>
              <w:spacing w:line="240" w:lineRule="exact"/>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99" w:type="dxa"/>
            <w:vMerge w:val="continue"/>
            <w:vAlign w:val="center"/>
          </w:tcPr>
          <w:p>
            <w:pPr>
              <w:spacing w:line="240" w:lineRule="exact"/>
              <w:jc w:val="center"/>
              <w:rPr>
                <w:rFonts w:ascii="黑体" w:hAnsi="黑体" w:eastAsia="黑体"/>
                <w:b/>
                <w:bCs/>
                <w:color w:val="auto"/>
                <w:sz w:val="24"/>
              </w:rPr>
            </w:pP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人员持证情况（5分）</w:t>
            </w:r>
          </w:p>
        </w:tc>
        <w:tc>
          <w:tcPr>
            <w:tcW w:w="5668" w:type="dxa"/>
            <w:vAlign w:val="center"/>
          </w:tcPr>
          <w:p>
            <w:pPr>
              <w:spacing w:line="240" w:lineRule="exact"/>
              <w:rPr>
                <w:rFonts w:ascii="仿宋" w:hAnsi="仿宋" w:eastAsia="仿宋"/>
                <w:b/>
                <w:bCs/>
                <w:color w:val="auto"/>
                <w:w w:val="90"/>
                <w:sz w:val="22"/>
              </w:rPr>
            </w:pPr>
            <w:r>
              <w:rPr>
                <w:rFonts w:hint="eastAsia" w:ascii="仿宋" w:hAnsi="仿宋" w:eastAsia="仿宋"/>
                <w:b/>
                <w:bCs/>
                <w:color w:val="auto"/>
                <w:w w:val="90"/>
                <w:sz w:val="22"/>
              </w:rPr>
              <w:t>消防设施操作员（监控操作中级），每个项目持证人员大于5人（含）得3分，不足5人不得分。物业公司在管项目多于两个（含）时，取各项目持证人数的平均值计算得分（备注：2021年12月以后的消防培训机构颁发的结业证也可）。住宅物业低压电工证，一本1分，最高得2分，物业公司在管项目多于两个（含）时，取各项目持证人数的平均值计算得分。</w:t>
            </w:r>
          </w:p>
        </w:tc>
        <w:tc>
          <w:tcPr>
            <w:tcW w:w="1266" w:type="dxa"/>
            <w:vMerge w:val="continue"/>
            <w:vAlign w:val="center"/>
          </w:tcPr>
          <w:p>
            <w:pPr>
              <w:spacing w:line="240" w:lineRule="exact"/>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99" w:type="dxa"/>
            <w:vMerge w:val="continue"/>
            <w:vAlign w:val="center"/>
          </w:tcPr>
          <w:p>
            <w:pPr>
              <w:spacing w:line="240" w:lineRule="exact"/>
              <w:jc w:val="center"/>
              <w:rPr>
                <w:rFonts w:ascii="黑体" w:hAnsi="黑体" w:eastAsia="黑体"/>
                <w:b/>
                <w:bCs/>
                <w:color w:val="auto"/>
                <w:sz w:val="24"/>
              </w:rPr>
            </w:pP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品质管理情况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（3分）</w:t>
            </w:r>
          </w:p>
        </w:tc>
        <w:tc>
          <w:tcPr>
            <w:tcW w:w="5668" w:type="dxa"/>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通过ISO9000、ISO14000和OHSAS18000等质量体系认证的，各得1分，最高得3分。</w:t>
            </w:r>
          </w:p>
        </w:tc>
        <w:tc>
          <w:tcPr>
            <w:tcW w:w="1266" w:type="dxa"/>
            <w:vMerge w:val="continue"/>
            <w:vAlign w:val="center"/>
          </w:tcPr>
          <w:p>
            <w:pPr>
              <w:spacing w:line="240" w:lineRule="exact"/>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99" w:type="dxa"/>
            <w:vMerge w:val="continue"/>
            <w:vAlign w:val="center"/>
          </w:tcPr>
          <w:p>
            <w:pPr>
              <w:spacing w:line="240" w:lineRule="exact"/>
              <w:jc w:val="center"/>
              <w:rPr>
                <w:rFonts w:ascii="黑体" w:hAnsi="黑体" w:eastAsia="黑体"/>
                <w:b/>
                <w:bCs/>
                <w:color w:val="auto"/>
                <w:sz w:val="24"/>
              </w:rPr>
            </w:pP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拓展服务情况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（4分）</w:t>
            </w:r>
          </w:p>
        </w:tc>
        <w:tc>
          <w:tcPr>
            <w:tcW w:w="5668" w:type="dxa"/>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企业在传统物业服务业主基础上，积极发展养老、托育、家政等服务的，每项得1分，最高得4分。</w:t>
            </w:r>
          </w:p>
        </w:tc>
        <w:tc>
          <w:tcPr>
            <w:tcW w:w="1266" w:type="dxa"/>
            <w:vMerge w:val="continue"/>
            <w:vAlign w:val="center"/>
          </w:tcPr>
          <w:p>
            <w:pPr>
              <w:spacing w:line="240" w:lineRule="exact"/>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99" w:type="dxa"/>
            <w:vMerge w:val="continue"/>
            <w:vAlign w:val="center"/>
          </w:tcPr>
          <w:p>
            <w:pPr>
              <w:spacing w:line="240" w:lineRule="exact"/>
              <w:jc w:val="center"/>
              <w:rPr>
                <w:rFonts w:ascii="黑体" w:hAnsi="黑体" w:eastAsia="黑体"/>
                <w:b/>
                <w:bCs/>
                <w:color w:val="auto"/>
                <w:sz w:val="24"/>
              </w:rPr>
            </w:pP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行标制定情况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（3分）</w:t>
            </w:r>
          </w:p>
        </w:tc>
        <w:tc>
          <w:tcPr>
            <w:tcW w:w="5668" w:type="dxa"/>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作为主要起草单位或者主编单位编写物业服务国家、行业、地方、团体标准的，分别得3、2、1、0.5分，可累计得分，最高不超过3分。</w:t>
            </w:r>
          </w:p>
        </w:tc>
        <w:tc>
          <w:tcPr>
            <w:tcW w:w="1266" w:type="dxa"/>
            <w:vMerge w:val="continue"/>
            <w:vAlign w:val="center"/>
          </w:tcPr>
          <w:p>
            <w:pPr>
              <w:spacing w:line="240" w:lineRule="exact"/>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9" w:type="dxa"/>
            <w:vMerge w:val="continue"/>
            <w:vAlign w:val="center"/>
          </w:tcPr>
          <w:p>
            <w:pPr>
              <w:spacing w:line="240" w:lineRule="exact"/>
              <w:jc w:val="center"/>
              <w:rPr>
                <w:rFonts w:ascii="黑体" w:hAnsi="黑体" w:eastAsia="黑体"/>
                <w:b/>
                <w:bCs/>
                <w:color w:val="auto"/>
                <w:sz w:val="24"/>
              </w:rPr>
            </w:pP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行业自律情况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（4分）</w:t>
            </w:r>
          </w:p>
        </w:tc>
        <w:tc>
          <w:tcPr>
            <w:tcW w:w="5668" w:type="dxa"/>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加入济宁市物业管理行业协会的，会员单位得1分，监事、理事单位得2分，副会长单位得3分，会长单位得4分。</w:t>
            </w:r>
          </w:p>
        </w:tc>
        <w:tc>
          <w:tcPr>
            <w:tcW w:w="1266" w:type="dxa"/>
            <w:vMerge w:val="continue"/>
            <w:vAlign w:val="center"/>
          </w:tcPr>
          <w:p>
            <w:pPr>
              <w:spacing w:line="240" w:lineRule="exact"/>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99" w:type="dxa"/>
            <w:vMerge w:val="restart"/>
            <w:vAlign w:val="center"/>
          </w:tcPr>
          <w:p>
            <w:pPr>
              <w:spacing w:line="240" w:lineRule="exact"/>
              <w:jc w:val="center"/>
              <w:rPr>
                <w:rFonts w:ascii="黑体" w:hAnsi="黑体" w:eastAsia="黑体"/>
                <w:b/>
                <w:bCs/>
                <w:color w:val="auto"/>
                <w:sz w:val="24"/>
              </w:rPr>
            </w:pPr>
            <w:r>
              <w:rPr>
                <w:rFonts w:hint="eastAsia" w:ascii="黑体" w:hAnsi="黑体" w:eastAsia="黑体"/>
                <w:b/>
                <w:bCs/>
                <w:color w:val="auto"/>
                <w:sz w:val="24"/>
              </w:rPr>
              <w:t>获得各级荣誉</w:t>
            </w:r>
          </w:p>
          <w:p>
            <w:pPr>
              <w:spacing w:line="240" w:lineRule="exact"/>
              <w:jc w:val="center"/>
              <w:rPr>
                <w:rFonts w:ascii="黑体" w:hAnsi="黑体" w:eastAsia="黑体"/>
                <w:b/>
                <w:bCs/>
                <w:color w:val="auto"/>
                <w:sz w:val="24"/>
              </w:rPr>
            </w:pPr>
            <w:r>
              <w:rPr>
                <w:rFonts w:hint="eastAsia" w:ascii="黑体" w:hAnsi="黑体" w:eastAsia="黑体"/>
                <w:b/>
                <w:bCs/>
                <w:color w:val="auto"/>
                <w:sz w:val="24"/>
              </w:rPr>
              <w:t>（20分）</w:t>
            </w:r>
          </w:p>
        </w:tc>
        <w:tc>
          <w:tcPr>
            <w:tcW w:w="1082" w:type="dxa"/>
            <w:vAlign w:val="center"/>
          </w:tcPr>
          <w:p>
            <w:pPr>
              <w:spacing w:line="240" w:lineRule="exact"/>
              <w:jc w:val="center"/>
              <w:rPr>
                <w:rFonts w:asciiTheme="minorEastAsia" w:hAnsiTheme="minorEastAsia"/>
                <w:b/>
                <w:bCs/>
                <w:color w:val="auto"/>
                <w:szCs w:val="22"/>
              </w:rPr>
            </w:pPr>
            <w:r>
              <w:rPr>
                <w:rFonts w:hint="eastAsia" w:asciiTheme="minorEastAsia" w:hAnsiTheme="minorEastAsia"/>
                <w:b/>
                <w:bCs/>
                <w:color w:val="auto"/>
                <w:szCs w:val="22"/>
              </w:rPr>
              <w:t>企业及个人荣誉情况（8分）</w:t>
            </w:r>
          </w:p>
        </w:tc>
        <w:tc>
          <w:tcPr>
            <w:tcW w:w="5668" w:type="dxa"/>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企业或企业员工获得国家、省、市、县级物业主管部门表彰的，分别得4、3、2、1分，获得镇街党委（党工委）、政府（办事处）表彰的得0.5分，表彰个人的减半得分，可累计得分，最高不超过8分。</w:t>
            </w:r>
          </w:p>
        </w:tc>
        <w:tc>
          <w:tcPr>
            <w:tcW w:w="1266" w:type="dxa"/>
            <w:vMerge w:val="restart"/>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物业服务企业录入；县（市、区）物业主管部门认定；市物业主管部门确认。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99" w:type="dxa"/>
            <w:vMerge w:val="continue"/>
            <w:vAlign w:val="center"/>
          </w:tcPr>
          <w:p>
            <w:pPr>
              <w:spacing w:line="240" w:lineRule="exact"/>
              <w:jc w:val="center"/>
              <w:rPr>
                <w:rFonts w:ascii="黑体" w:hAnsi="黑体" w:eastAsia="黑体"/>
                <w:b/>
                <w:bCs/>
                <w:color w:val="auto"/>
                <w:sz w:val="24"/>
              </w:rPr>
            </w:pPr>
          </w:p>
        </w:tc>
        <w:tc>
          <w:tcPr>
            <w:tcW w:w="1082" w:type="dxa"/>
            <w:vAlign w:val="center"/>
          </w:tcPr>
          <w:p>
            <w:pPr>
              <w:spacing w:line="240" w:lineRule="exact"/>
              <w:jc w:val="center"/>
              <w:rPr>
                <w:rFonts w:asciiTheme="minorEastAsia" w:hAnsiTheme="minorEastAsia"/>
                <w:b/>
                <w:bCs/>
                <w:color w:val="auto"/>
                <w:szCs w:val="22"/>
              </w:rPr>
            </w:pPr>
            <w:r>
              <w:rPr>
                <w:rFonts w:hint="eastAsia" w:asciiTheme="minorEastAsia" w:hAnsiTheme="minorEastAsia"/>
                <w:b/>
                <w:bCs/>
                <w:color w:val="auto"/>
                <w:szCs w:val="22"/>
              </w:rPr>
              <w:t>物业项目创优情况</w:t>
            </w:r>
          </w:p>
          <w:p>
            <w:pPr>
              <w:spacing w:line="240" w:lineRule="exact"/>
              <w:jc w:val="center"/>
              <w:rPr>
                <w:rFonts w:asciiTheme="minorEastAsia" w:hAnsiTheme="minorEastAsia"/>
                <w:b/>
                <w:bCs/>
                <w:color w:val="auto"/>
                <w:szCs w:val="22"/>
              </w:rPr>
            </w:pPr>
            <w:r>
              <w:rPr>
                <w:rFonts w:hint="eastAsia" w:asciiTheme="minorEastAsia" w:hAnsiTheme="minorEastAsia"/>
                <w:b/>
                <w:bCs/>
                <w:color w:val="auto"/>
                <w:szCs w:val="22"/>
              </w:rPr>
              <w:t>（8分）</w:t>
            </w:r>
          </w:p>
        </w:tc>
        <w:tc>
          <w:tcPr>
            <w:tcW w:w="5668" w:type="dxa"/>
            <w:vAlign w:val="center"/>
          </w:tcPr>
          <w:p>
            <w:pPr>
              <w:spacing w:line="240" w:lineRule="exact"/>
              <w:rPr>
                <w:rFonts w:ascii="仿宋" w:hAnsi="仿宋" w:eastAsia="仿宋"/>
                <w:b/>
                <w:bCs/>
                <w:color w:val="auto"/>
                <w:w w:val="90"/>
                <w:sz w:val="22"/>
              </w:rPr>
            </w:pPr>
            <w:r>
              <w:rPr>
                <w:rFonts w:hint="eastAsia" w:ascii="仿宋" w:hAnsi="仿宋" w:eastAsia="仿宋"/>
                <w:b/>
                <w:bCs/>
                <w:color w:val="auto"/>
                <w:w w:val="90"/>
                <w:sz w:val="22"/>
              </w:rPr>
              <w:t>在合同期内服务的物管项目获得住建部、省住建厅、市住建局、县（市、区）物业主管部门表彰或获得相应荣誉称号，分别得4、3、2、1分，可累计得分，最高不超过8分。</w:t>
            </w:r>
          </w:p>
        </w:tc>
        <w:tc>
          <w:tcPr>
            <w:tcW w:w="1266" w:type="dxa"/>
            <w:vMerge w:val="continue"/>
            <w:vAlign w:val="center"/>
          </w:tcPr>
          <w:p>
            <w:pPr>
              <w:spacing w:line="240" w:lineRule="exact"/>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9" w:type="dxa"/>
            <w:vMerge w:val="continue"/>
            <w:vAlign w:val="center"/>
          </w:tcPr>
          <w:p>
            <w:pPr>
              <w:spacing w:line="240" w:lineRule="exact"/>
              <w:jc w:val="center"/>
              <w:rPr>
                <w:rFonts w:ascii="黑体" w:hAnsi="黑体" w:eastAsia="黑体"/>
                <w:b/>
                <w:bCs/>
                <w:color w:val="auto"/>
                <w:sz w:val="24"/>
              </w:rPr>
            </w:pP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行业竞赛成绩情况</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（4分）</w:t>
            </w:r>
          </w:p>
        </w:tc>
        <w:tc>
          <w:tcPr>
            <w:tcW w:w="5668" w:type="dxa"/>
            <w:vAlign w:val="center"/>
          </w:tcPr>
          <w:p>
            <w:pPr>
              <w:spacing w:line="240" w:lineRule="exact"/>
              <w:rPr>
                <w:rFonts w:ascii="仿宋" w:hAnsi="仿宋" w:eastAsia="仿宋"/>
                <w:b/>
                <w:bCs/>
                <w:color w:val="auto"/>
                <w:w w:val="90"/>
                <w:sz w:val="22"/>
              </w:rPr>
            </w:pPr>
            <w:r>
              <w:rPr>
                <w:rFonts w:hint="eastAsia" w:ascii="仿宋" w:hAnsi="仿宋" w:eastAsia="仿宋"/>
                <w:b/>
                <w:bCs/>
                <w:color w:val="auto"/>
                <w:w w:val="90"/>
                <w:sz w:val="22"/>
              </w:rPr>
              <w:t>以企业代表队积极参与省、市物业主管部门组织的各类行业竞赛的，分别得1、0.5分。获得省一等奖得1.5分、二等奖得1分、三等奖得0.5分；获得市一等奖得1分、二等奖得0.5分、三等奖得0.3分；可累计得分，最高不超过4分。</w:t>
            </w:r>
          </w:p>
        </w:tc>
        <w:tc>
          <w:tcPr>
            <w:tcW w:w="1266" w:type="dxa"/>
            <w:vMerge w:val="continue"/>
            <w:vAlign w:val="center"/>
          </w:tcPr>
          <w:p>
            <w:pPr>
              <w:spacing w:line="240" w:lineRule="exact"/>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99" w:type="dxa"/>
            <w:vMerge w:val="restart"/>
            <w:vAlign w:val="center"/>
          </w:tcPr>
          <w:p>
            <w:pPr>
              <w:spacing w:line="240" w:lineRule="exact"/>
              <w:jc w:val="center"/>
              <w:rPr>
                <w:rFonts w:ascii="黑体" w:hAnsi="黑体" w:eastAsia="黑体"/>
                <w:b/>
                <w:bCs/>
                <w:color w:val="auto"/>
                <w:sz w:val="24"/>
              </w:rPr>
            </w:pPr>
            <w:r>
              <w:rPr>
                <w:rFonts w:hint="eastAsia" w:ascii="黑体" w:hAnsi="黑体" w:eastAsia="黑体"/>
                <w:b/>
                <w:bCs/>
                <w:color w:val="auto"/>
                <w:sz w:val="24"/>
              </w:rPr>
              <w:t>社会及行业贡献</w:t>
            </w:r>
          </w:p>
          <w:p>
            <w:pPr>
              <w:spacing w:line="240" w:lineRule="exact"/>
              <w:jc w:val="center"/>
              <w:rPr>
                <w:rFonts w:ascii="黑体" w:hAnsi="黑体" w:eastAsia="黑体"/>
                <w:b/>
                <w:bCs/>
                <w:color w:val="auto"/>
                <w:sz w:val="24"/>
              </w:rPr>
            </w:pPr>
            <w:r>
              <w:rPr>
                <w:rFonts w:hint="eastAsia" w:ascii="黑体" w:hAnsi="黑体" w:eastAsia="黑体"/>
                <w:b/>
                <w:bCs/>
                <w:color w:val="auto"/>
                <w:sz w:val="24"/>
              </w:rPr>
              <w:t>（10分）</w:t>
            </w: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履行社会责任</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（5分）</w:t>
            </w:r>
          </w:p>
        </w:tc>
        <w:tc>
          <w:tcPr>
            <w:tcW w:w="5668" w:type="dxa"/>
            <w:vAlign w:val="center"/>
          </w:tcPr>
          <w:p>
            <w:pPr>
              <w:spacing w:line="240" w:lineRule="exact"/>
              <w:rPr>
                <w:rFonts w:ascii="仿宋" w:hAnsi="仿宋" w:eastAsia="仿宋"/>
                <w:b/>
                <w:bCs/>
                <w:color w:val="auto"/>
                <w:w w:val="90"/>
                <w:sz w:val="22"/>
              </w:rPr>
            </w:pPr>
            <w:r>
              <w:rPr>
                <w:rFonts w:hint="eastAsia" w:ascii="仿宋" w:hAnsi="仿宋" w:eastAsia="仿宋"/>
                <w:b/>
                <w:bCs/>
                <w:color w:val="auto"/>
                <w:w w:val="90"/>
                <w:sz w:val="22"/>
              </w:rPr>
              <w:t>积极参加公益、慈善、救济等社会活动，企业受到县级官方新闻媒体正面宣传报道的，得</w:t>
            </w:r>
            <w:r>
              <w:rPr>
                <w:rFonts w:ascii="仿宋" w:hAnsi="仿宋" w:eastAsia="仿宋"/>
                <w:b/>
                <w:bCs/>
                <w:color w:val="auto"/>
                <w:w w:val="90"/>
                <w:sz w:val="22"/>
              </w:rPr>
              <w:t>1</w:t>
            </w:r>
            <w:r>
              <w:rPr>
                <w:rFonts w:hint="eastAsia" w:ascii="仿宋" w:hAnsi="仿宋" w:eastAsia="仿宋"/>
                <w:b/>
                <w:bCs/>
                <w:color w:val="auto"/>
                <w:w w:val="90"/>
                <w:sz w:val="22"/>
              </w:rPr>
              <w:t>分，表彰个人的得0.5分；受到市级及以上官方新闻媒体正面宣传报道的，得2分，表彰个人的得1分。受到省级及以上官方新闻媒体正面宣传报道的，得3分，表彰个人的得1.5分。累计得分最高不超过5分。</w:t>
            </w:r>
          </w:p>
        </w:tc>
        <w:tc>
          <w:tcPr>
            <w:tcW w:w="1266" w:type="dxa"/>
            <w:vMerge w:val="restart"/>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物业服务企业录入；县（市、区）物业主管部门认定；市物业主管部门确认。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99" w:type="dxa"/>
            <w:vMerge w:val="continue"/>
            <w:vAlign w:val="center"/>
          </w:tcPr>
          <w:p>
            <w:pPr>
              <w:spacing w:line="240" w:lineRule="exact"/>
              <w:rPr>
                <w:rFonts w:ascii="黑体" w:hAnsi="黑体" w:eastAsia="黑体"/>
                <w:b/>
                <w:bCs/>
                <w:color w:val="auto"/>
                <w:sz w:val="20"/>
                <w:szCs w:val="20"/>
              </w:rPr>
            </w:pPr>
          </w:p>
        </w:tc>
        <w:tc>
          <w:tcPr>
            <w:tcW w:w="1082"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树立行业标杆（5分）</w:t>
            </w:r>
          </w:p>
        </w:tc>
        <w:tc>
          <w:tcPr>
            <w:tcW w:w="5668" w:type="dxa"/>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积极落实行业主管部门政策要求和工作部署，物业服务项目作为标杆典型代表，迎接国家、省、市组织的现场观摩、正面调研等活动的，每次分别得3、2、1分，累计得分最高不超过5分。</w:t>
            </w:r>
          </w:p>
        </w:tc>
        <w:tc>
          <w:tcPr>
            <w:tcW w:w="1266" w:type="dxa"/>
            <w:vMerge w:val="continue"/>
            <w:vAlign w:val="center"/>
          </w:tcPr>
          <w:p>
            <w:pPr>
              <w:spacing w:line="240" w:lineRule="exact"/>
              <w:rPr>
                <w:rFonts w:ascii="仿宋" w:hAnsi="仿宋" w:eastAsia="仿宋"/>
                <w:b/>
                <w:bCs/>
                <w:color w:val="auto"/>
                <w:sz w:val="22"/>
              </w:rPr>
            </w:pPr>
          </w:p>
        </w:tc>
      </w:tr>
    </w:tbl>
    <w:p>
      <w:pPr>
        <w:widowControl/>
        <w:jc w:val="center"/>
        <w:rPr>
          <w:rFonts w:ascii="黑体" w:hAnsi="黑体" w:eastAsia="黑体"/>
          <w:b/>
          <w:bCs/>
          <w:color w:val="auto"/>
          <w:sz w:val="32"/>
          <w:szCs w:val="32"/>
        </w:rPr>
      </w:pPr>
      <w:r>
        <w:rPr>
          <w:rFonts w:ascii="黑体" w:hAnsi="黑体" w:eastAsia="黑体"/>
          <w:b/>
          <w:bCs/>
          <w:color w:val="auto"/>
          <w:sz w:val="32"/>
          <w:szCs w:val="32"/>
        </w:rPr>
        <w:br w:type="page"/>
      </w:r>
      <w:r>
        <w:rPr>
          <w:rFonts w:hint="eastAsia" w:ascii="黑体" w:hAnsi="黑体" w:eastAsia="黑体"/>
          <w:b/>
          <w:bCs/>
          <w:color w:val="auto"/>
          <w:sz w:val="32"/>
          <w:szCs w:val="32"/>
        </w:rPr>
        <w:t>丙类　企业不良信用信息</w:t>
      </w:r>
    </w:p>
    <w:tbl>
      <w:tblPr>
        <w:tblStyle w:val="17"/>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36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694" w:type="dxa"/>
            <w:gridSpan w:val="2"/>
            <w:vAlign w:val="center"/>
          </w:tcPr>
          <w:p>
            <w:pPr>
              <w:jc w:val="center"/>
              <w:rPr>
                <w:rFonts w:ascii="黑体" w:hAnsi="黑体" w:eastAsia="黑体"/>
                <w:b/>
                <w:bCs/>
                <w:color w:val="auto"/>
                <w:sz w:val="24"/>
              </w:rPr>
            </w:pPr>
            <w:r>
              <w:rPr>
                <w:rFonts w:hint="eastAsia" w:ascii="黑体" w:hAnsi="黑体" w:eastAsia="黑体"/>
                <w:b/>
                <w:bCs/>
                <w:color w:val="auto"/>
                <w:sz w:val="24"/>
              </w:rPr>
              <w:t>类别</w:t>
            </w:r>
          </w:p>
        </w:tc>
        <w:tc>
          <w:tcPr>
            <w:tcW w:w="5670" w:type="dxa"/>
            <w:gridSpan w:val="2"/>
            <w:vAlign w:val="center"/>
          </w:tcPr>
          <w:p>
            <w:pPr>
              <w:jc w:val="center"/>
              <w:rPr>
                <w:rFonts w:ascii="黑体" w:hAnsi="黑体" w:eastAsia="黑体"/>
                <w:b/>
                <w:bCs/>
                <w:color w:val="auto"/>
                <w:sz w:val="24"/>
              </w:rPr>
            </w:pPr>
            <w:r>
              <w:rPr>
                <w:rFonts w:hint="eastAsia" w:ascii="黑体" w:hAnsi="黑体" w:eastAsia="黑体"/>
                <w:b/>
                <w:bCs/>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34" w:type="dxa"/>
            <w:vMerge w:val="restart"/>
            <w:vAlign w:val="center"/>
          </w:tcPr>
          <w:p>
            <w:pPr>
              <w:jc w:val="center"/>
              <w:rPr>
                <w:rFonts w:ascii="黑体" w:hAnsi="黑体" w:eastAsia="黑体"/>
                <w:b/>
                <w:bCs/>
                <w:color w:val="auto"/>
                <w:sz w:val="24"/>
              </w:rPr>
            </w:pPr>
            <w:r>
              <w:rPr>
                <w:rFonts w:hint="eastAsia" w:ascii="黑体" w:hAnsi="黑体" w:eastAsia="黑体"/>
                <w:b/>
                <w:bCs/>
                <w:color w:val="auto"/>
                <w:sz w:val="24"/>
              </w:rPr>
              <w:t>企业一般不良信用信息</w:t>
            </w:r>
          </w:p>
        </w:tc>
        <w:tc>
          <w:tcPr>
            <w:tcW w:w="1560"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物业领域重点工作落实情况（10分）</w:t>
            </w:r>
          </w:p>
        </w:tc>
        <w:tc>
          <w:tcPr>
            <w:tcW w:w="5670" w:type="dxa"/>
            <w:gridSpan w:val="2"/>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无故缺勤物业主管部门重点工作会议或不按规定报送相关材料的，每次扣0.5分；因思想不重视、行动迟缓、落实不力等影响物业领域重点工作成效的，视情节扣2-5分。最多扣10分。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134" w:type="dxa"/>
            <w:vMerge w:val="continue"/>
            <w:vAlign w:val="center"/>
          </w:tcPr>
          <w:p>
            <w:pPr>
              <w:jc w:val="center"/>
              <w:rPr>
                <w:rFonts w:ascii="黑体" w:hAnsi="黑体" w:eastAsia="黑体"/>
                <w:b/>
                <w:bCs/>
                <w:color w:val="auto"/>
                <w:sz w:val="24"/>
              </w:rPr>
            </w:pPr>
          </w:p>
        </w:tc>
        <w:tc>
          <w:tcPr>
            <w:tcW w:w="1560"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负面社会影响</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（10分）</w:t>
            </w:r>
          </w:p>
        </w:tc>
        <w:tc>
          <w:tcPr>
            <w:tcW w:w="5670" w:type="dxa"/>
            <w:gridSpan w:val="2"/>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被县级及以上政府部门、官方媒体等通报或曝光的由物业服务企业承担主要责任的物业服务问题，经查属实的，视情节扣0.2-0.5分，整改不到位被再次通报或曝光的，视情节加扣0.4-1分，造成恶劣影响的，视情节加扣0.8-2分。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134" w:type="dxa"/>
            <w:vMerge w:val="continue"/>
            <w:vAlign w:val="center"/>
          </w:tcPr>
          <w:p>
            <w:pPr>
              <w:jc w:val="center"/>
              <w:rPr>
                <w:rFonts w:ascii="黑体" w:hAnsi="黑体" w:eastAsia="黑体"/>
                <w:b/>
                <w:bCs/>
                <w:color w:val="auto"/>
                <w:sz w:val="24"/>
              </w:rPr>
            </w:pPr>
          </w:p>
        </w:tc>
        <w:tc>
          <w:tcPr>
            <w:tcW w:w="1560"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违法违规行为</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（8分）</w:t>
            </w:r>
          </w:p>
        </w:tc>
        <w:tc>
          <w:tcPr>
            <w:tcW w:w="5670" w:type="dxa"/>
            <w:gridSpan w:val="2"/>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物业服务企业违反相关法律、法规，被物业主管部门或相关执法部门依法下达责令整改通知书的；采取威胁、恐吓、擅自或者变相停水、停电、停用门禁卡、电梯卡等手段强制收取物业费经查属实的，每次扣2分；拒不整改的，每次加扣2分。最多扣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34" w:type="dxa"/>
            <w:vMerge w:val="continue"/>
            <w:vAlign w:val="center"/>
          </w:tcPr>
          <w:p>
            <w:pPr>
              <w:jc w:val="center"/>
              <w:rPr>
                <w:rFonts w:ascii="黑体" w:hAnsi="黑体" w:eastAsia="黑体"/>
                <w:b/>
                <w:bCs/>
                <w:color w:val="auto"/>
                <w:sz w:val="24"/>
              </w:rPr>
            </w:pPr>
          </w:p>
        </w:tc>
        <w:tc>
          <w:tcPr>
            <w:tcW w:w="1560"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司法责任</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（6分）</w:t>
            </w:r>
          </w:p>
        </w:tc>
        <w:tc>
          <w:tcPr>
            <w:tcW w:w="5670" w:type="dxa"/>
            <w:gridSpan w:val="2"/>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物业服务企业承担主要责任的法院判决、仲裁的生效判决，每一案件扣2分，最多扣6分。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34" w:type="dxa"/>
            <w:vMerge w:val="continue"/>
            <w:vAlign w:val="center"/>
          </w:tcPr>
          <w:p>
            <w:pPr>
              <w:jc w:val="center"/>
              <w:rPr>
                <w:rFonts w:ascii="黑体" w:hAnsi="黑体" w:eastAsia="黑体"/>
                <w:b/>
                <w:bCs/>
                <w:color w:val="auto"/>
                <w:sz w:val="24"/>
              </w:rPr>
            </w:pPr>
          </w:p>
        </w:tc>
        <w:tc>
          <w:tcPr>
            <w:tcW w:w="1560" w:type="dxa"/>
            <w:vAlign w:val="center"/>
          </w:tcPr>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安全生产责任</w:t>
            </w:r>
          </w:p>
          <w:p>
            <w:pPr>
              <w:spacing w:line="240" w:lineRule="exact"/>
              <w:jc w:val="center"/>
              <w:rPr>
                <w:rFonts w:asciiTheme="minorEastAsia" w:hAnsiTheme="minorEastAsia"/>
                <w:b/>
                <w:bCs/>
                <w:color w:val="auto"/>
                <w:sz w:val="22"/>
              </w:rPr>
            </w:pPr>
            <w:r>
              <w:rPr>
                <w:rFonts w:hint="eastAsia" w:asciiTheme="minorEastAsia" w:hAnsiTheme="minorEastAsia"/>
                <w:b/>
                <w:bCs/>
                <w:color w:val="auto"/>
                <w:sz w:val="22"/>
              </w:rPr>
              <w:t>（8分）</w:t>
            </w:r>
          </w:p>
        </w:tc>
        <w:tc>
          <w:tcPr>
            <w:tcW w:w="5670" w:type="dxa"/>
            <w:gridSpan w:val="2"/>
            <w:vAlign w:val="center"/>
          </w:tcPr>
          <w:p>
            <w:pPr>
              <w:spacing w:line="240" w:lineRule="exact"/>
              <w:rPr>
                <w:rFonts w:ascii="仿宋" w:hAnsi="仿宋" w:eastAsia="仿宋"/>
                <w:b/>
                <w:bCs/>
                <w:color w:val="auto"/>
                <w:sz w:val="22"/>
              </w:rPr>
            </w:pPr>
            <w:r>
              <w:rPr>
                <w:rFonts w:hint="eastAsia" w:ascii="仿宋" w:hAnsi="仿宋" w:eastAsia="仿宋"/>
                <w:b/>
                <w:bCs/>
                <w:color w:val="auto"/>
                <w:sz w:val="22"/>
              </w:rPr>
              <w:t>因管理不善发生一般、较大安全责任事故尚未造成严重后果的，每次分别扣2分、4分。最多扣8分。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134" w:type="dxa"/>
            <w:vMerge w:val="restart"/>
            <w:vAlign w:val="center"/>
          </w:tcPr>
          <w:p>
            <w:pPr>
              <w:jc w:val="center"/>
              <w:rPr>
                <w:rFonts w:ascii="黑体" w:hAnsi="黑体" w:eastAsia="黑体"/>
                <w:b/>
                <w:bCs/>
                <w:color w:val="auto"/>
                <w:sz w:val="24"/>
              </w:rPr>
            </w:pPr>
            <w:r>
              <w:rPr>
                <w:rFonts w:hint="eastAsia" w:ascii="黑体" w:hAnsi="黑体" w:eastAsia="黑体"/>
                <w:b/>
                <w:bCs/>
                <w:color w:val="auto"/>
                <w:sz w:val="24"/>
              </w:rPr>
              <w:t>企业严重不良信用信息</w:t>
            </w:r>
          </w:p>
        </w:tc>
        <w:tc>
          <w:tcPr>
            <w:tcW w:w="5245" w:type="dxa"/>
            <w:gridSpan w:val="2"/>
            <w:vAlign w:val="center"/>
          </w:tcPr>
          <w:p>
            <w:pPr>
              <w:spacing w:line="240" w:lineRule="exact"/>
              <w:rPr>
                <w:rFonts w:asciiTheme="minorEastAsia" w:hAnsiTheme="minorEastAsia"/>
                <w:b/>
                <w:bCs/>
                <w:color w:val="auto"/>
                <w:sz w:val="22"/>
              </w:rPr>
            </w:pPr>
            <w:r>
              <w:rPr>
                <w:rFonts w:hint="eastAsia" w:asciiTheme="minorEastAsia" w:hAnsiTheme="minorEastAsia"/>
                <w:b/>
                <w:bCs/>
                <w:color w:val="auto"/>
                <w:sz w:val="22"/>
              </w:rPr>
              <w:t>未按规定履行物业项目退出程序，擅自停止物业服务，或经合法程序解聘后，拒不退出物业项目、移交物业用房及相关资料的，或将一个物业管理区域内的全部物业管理一并委托给其他管理人的</w:t>
            </w:r>
          </w:p>
        </w:tc>
        <w:tc>
          <w:tcPr>
            <w:tcW w:w="1985" w:type="dxa"/>
            <w:vMerge w:val="restart"/>
            <w:vAlign w:val="center"/>
          </w:tcPr>
          <w:p>
            <w:pPr>
              <w:rPr>
                <w:rFonts w:ascii="仿宋" w:hAnsi="仿宋" w:eastAsia="仿宋"/>
                <w:b/>
                <w:bCs/>
                <w:color w:val="auto"/>
                <w:sz w:val="22"/>
              </w:rPr>
            </w:pPr>
            <w:r>
              <w:rPr>
                <w:rFonts w:hint="eastAsia" w:ascii="仿宋" w:hAnsi="仿宋" w:eastAsia="仿宋"/>
                <w:b/>
                <w:bCs/>
                <w:color w:val="auto"/>
                <w:sz w:val="22"/>
              </w:rPr>
              <w:t>出现所列行为1次的，信用分值清零，信用等级暂定为C 级（黄牌）。拒不整改、无法补救或出现所列行为超过1次的，信用等级确定为C级（严重失信）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34" w:type="dxa"/>
            <w:vMerge w:val="continue"/>
            <w:vAlign w:val="center"/>
          </w:tcPr>
          <w:p>
            <w:pPr>
              <w:jc w:val="center"/>
              <w:rPr>
                <w:rFonts w:ascii="黑体" w:hAnsi="黑体" w:eastAsia="黑体"/>
                <w:b/>
                <w:bCs/>
                <w:color w:val="auto"/>
                <w:sz w:val="20"/>
                <w:szCs w:val="20"/>
              </w:rPr>
            </w:pPr>
          </w:p>
        </w:tc>
        <w:tc>
          <w:tcPr>
            <w:tcW w:w="5245" w:type="dxa"/>
            <w:gridSpan w:val="2"/>
            <w:vAlign w:val="center"/>
          </w:tcPr>
          <w:p>
            <w:pPr>
              <w:spacing w:line="240" w:lineRule="exact"/>
              <w:rPr>
                <w:rFonts w:asciiTheme="minorEastAsia" w:hAnsiTheme="minorEastAsia"/>
                <w:b/>
                <w:bCs/>
                <w:color w:val="auto"/>
                <w:sz w:val="22"/>
              </w:rPr>
            </w:pPr>
            <w:r>
              <w:rPr>
                <w:rFonts w:hint="eastAsia" w:asciiTheme="minorEastAsia" w:hAnsiTheme="minorEastAsia"/>
                <w:b/>
                <w:bCs/>
                <w:color w:val="auto"/>
                <w:sz w:val="22"/>
              </w:rPr>
              <w:t>擅自侵占、挪用、套用业主公共收益或专项维修资金，情节严重的</w:t>
            </w:r>
          </w:p>
        </w:tc>
        <w:tc>
          <w:tcPr>
            <w:tcW w:w="1985"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34" w:type="dxa"/>
            <w:vMerge w:val="continue"/>
            <w:vAlign w:val="center"/>
          </w:tcPr>
          <w:p>
            <w:pPr>
              <w:jc w:val="center"/>
              <w:rPr>
                <w:rFonts w:ascii="黑体" w:hAnsi="黑体" w:eastAsia="黑体"/>
                <w:b/>
                <w:bCs/>
                <w:color w:val="auto"/>
                <w:sz w:val="20"/>
                <w:szCs w:val="20"/>
              </w:rPr>
            </w:pPr>
          </w:p>
        </w:tc>
        <w:tc>
          <w:tcPr>
            <w:tcW w:w="5245" w:type="dxa"/>
            <w:gridSpan w:val="2"/>
            <w:vAlign w:val="center"/>
          </w:tcPr>
          <w:p>
            <w:pPr>
              <w:spacing w:line="240" w:lineRule="exact"/>
              <w:rPr>
                <w:rFonts w:asciiTheme="minorEastAsia" w:hAnsiTheme="minorEastAsia"/>
                <w:b/>
                <w:bCs/>
                <w:color w:val="auto"/>
                <w:sz w:val="22"/>
              </w:rPr>
            </w:pPr>
            <w:r>
              <w:rPr>
                <w:rFonts w:hint="eastAsia" w:asciiTheme="minorEastAsia" w:hAnsiTheme="minorEastAsia"/>
                <w:b/>
                <w:bCs/>
                <w:color w:val="auto"/>
                <w:sz w:val="22"/>
              </w:rPr>
              <w:t>因物业服务企业过错造成严重不良后果，影响社会稳定的</w:t>
            </w:r>
          </w:p>
        </w:tc>
        <w:tc>
          <w:tcPr>
            <w:tcW w:w="1985" w:type="dxa"/>
            <w:vMerge w:val="continue"/>
            <w:vAlign w:val="center"/>
          </w:tcPr>
          <w:p>
            <w:pPr>
              <w:rPr>
                <w:rFonts w:ascii="仿宋" w:hAnsi="仿宋" w:eastAsia="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34" w:type="dxa"/>
            <w:vMerge w:val="continue"/>
            <w:vAlign w:val="center"/>
          </w:tcPr>
          <w:p>
            <w:pPr>
              <w:jc w:val="center"/>
              <w:rPr>
                <w:rFonts w:ascii="黑体" w:hAnsi="黑体" w:eastAsia="黑体"/>
                <w:b/>
                <w:bCs/>
                <w:color w:val="auto"/>
                <w:sz w:val="20"/>
                <w:szCs w:val="20"/>
              </w:rPr>
            </w:pPr>
          </w:p>
        </w:tc>
        <w:tc>
          <w:tcPr>
            <w:tcW w:w="5245" w:type="dxa"/>
            <w:gridSpan w:val="2"/>
            <w:vAlign w:val="center"/>
          </w:tcPr>
          <w:p>
            <w:pPr>
              <w:spacing w:line="240" w:lineRule="exact"/>
              <w:rPr>
                <w:rFonts w:asciiTheme="minorEastAsia" w:hAnsiTheme="minorEastAsia"/>
                <w:b/>
                <w:bCs/>
                <w:color w:val="auto"/>
                <w:sz w:val="22"/>
              </w:rPr>
            </w:pPr>
            <w:r>
              <w:rPr>
                <w:rFonts w:hint="eastAsia" w:asciiTheme="minorEastAsia" w:hAnsiTheme="minorEastAsia"/>
                <w:b/>
                <w:bCs/>
                <w:color w:val="auto"/>
                <w:sz w:val="22"/>
              </w:rPr>
              <w:t>经司法机关或行政机关确认因物业服务企业全部责任或主要责任，发生重大安全事故的</w:t>
            </w:r>
          </w:p>
        </w:tc>
        <w:tc>
          <w:tcPr>
            <w:tcW w:w="1985" w:type="dxa"/>
            <w:vMerge w:val="restart"/>
            <w:vAlign w:val="center"/>
          </w:tcPr>
          <w:p>
            <w:pPr>
              <w:rPr>
                <w:rFonts w:ascii="仿宋" w:hAnsi="仿宋" w:eastAsia="仿宋"/>
                <w:b/>
                <w:bCs/>
                <w:color w:val="auto"/>
                <w:sz w:val="22"/>
              </w:rPr>
            </w:pPr>
            <w:r>
              <w:rPr>
                <w:rFonts w:hint="eastAsia" w:ascii="仿宋" w:hAnsi="仿宋" w:eastAsia="仿宋"/>
                <w:b/>
                <w:bCs/>
                <w:color w:val="auto"/>
                <w:sz w:val="22"/>
              </w:rPr>
              <w:t>信用等级确定为C级（严重失信）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Merge w:val="continue"/>
            <w:vAlign w:val="center"/>
          </w:tcPr>
          <w:p>
            <w:pPr>
              <w:jc w:val="center"/>
              <w:rPr>
                <w:rFonts w:ascii="黑体" w:hAnsi="黑体" w:eastAsia="黑体"/>
                <w:b/>
                <w:bCs/>
                <w:color w:val="auto"/>
                <w:sz w:val="20"/>
                <w:szCs w:val="20"/>
              </w:rPr>
            </w:pPr>
          </w:p>
        </w:tc>
        <w:tc>
          <w:tcPr>
            <w:tcW w:w="5245" w:type="dxa"/>
            <w:gridSpan w:val="2"/>
            <w:vAlign w:val="center"/>
          </w:tcPr>
          <w:p>
            <w:pPr>
              <w:spacing w:line="240" w:lineRule="exact"/>
              <w:rPr>
                <w:rFonts w:asciiTheme="minorEastAsia" w:hAnsiTheme="minorEastAsia"/>
                <w:b/>
                <w:bCs/>
                <w:color w:val="auto"/>
                <w:sz w:val="22"/>
              </w:rPr>
            </w:pPr>
            <w:r>
              <w:rPr>
                <w:rFonts w:hint="eastAsia" w:asciiTheme="minorEastAsia" w:hAnsiTheme="minorEastAsia"/>
                <w:b/>
                <w:bCs/>
                <w:color w:val="auto"/>
                <w:sz w:val="22"/>
              </w:rPr>
              <w:t>在物业服务招标投标中有围标、串标等行为，严重破坏市场公平竞争秩序及社会正常秩序的</w:t>
            </w:r>
          </w:p>
        </w:tc>
        <w:tc>
          <w:tcPr>
            <w:tcW w:w="1985" w:type="dxa"/>
            <w:vMerge w:val="continue"/>
            <w:vAlign w:val="center"/>
          </w:tcPr>
          <w:p>
            <w:pPr>
              <w:rPr>
                <w:rFonts w:ascii="黑体" w:hAnsi="黑体" w:eastAsia="黑体"/>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134" w:type="dxa"/>
            <w:vMerge w:val="continue"/>
            <w:vAlign w:val="center"/>
          </w:tcPr>
          <w:p>
            <w:pPr>
              <w:jc w:val="center"/>
              <w:rPr>
                <w:rFonts w:ascii="黑体" w:hAnsi="黑体" w:eastAsia="黑体"/>
                <w:b/>
                <w:bCs/>
                <w:color w:val="auto"/>
                <w:sz w:val="20"/>
                <w:szCs w:val="20"/>
              </w:rPr>
            </w:pPr>
          </w:p>
        </w:tc>
        <w:tc>
          <w:tcPr>
            <w:tcW w:w="5245" w:type="dxa"/>
            <w:gridSpan w:val="2"/>
            <w:vAlign w:val="center"/>
          </w:tcPr>
          <w:p>
            <w:pPr>
              <w:spacing w:line="240" w:lineRule="exact"/>
              <w:rPr>
                <w:rFonts w:asciiTheme="minorEastAsia" w:hAnsiTheme="minorEastAsia"/>
                <w:b/>
                <w:bCs/>
                <w:color w:val="auto"/>
                <w:sz w:val="22"/>
              </w:rPr>
            </w:pPr>
            <w:r>
              <w:rPr>
                <w:rFonts w:hint="eastAsia" w:asciiTheme="minorEastAsia" w:hAnsiTheme="minorEastAsia"/>
                <w:b/>
                <w:bCs/>
                <w:color w:val="auto"/>
                <w:sz w:val="22"/>
              </w:rPr>
              <w:t>物业服务企业拒不履行法定义务，严重影响司法机关、行政机关公信力的，包括在司法机关、行政机关作出判决或决定后，有履行能力但拒不履行、逃避执行的</w:t>
            </w:r>
          </w:p>
        </w:tc>
        <w:tc>
          <w:tcPr>
            <w:tcW w:w="1985" w:type="dxa"/>
            <w:vMerge w:val="continue"/>
            <w:vAlign w:val="center"/>
          </w:tcPr>
          <w:p>
            <w:pPr>
              <w:rPr>
                <w:rFonts w:ascii="黑体" w:hAnsi="黑体" w:eastAsia="黑体"/>
                <w:b/>
                <w:bCs/>
                <w:color w:val="auto"/>
                <w:sz w:val="20"/>
                <w:szCs w:val="20"/>
              </w:rPr>
            </w:pPr>
          </w:p>
        </w:tc>
      </w:tr>
    </w:tbl>
    <w:p>
      <w:pPr>
        <w:spacing w:line="600" w:lineRule="exact"/>
        <w:rPr>
          <w:rFonts w:ascii="Times New Roman" w:hAnsi="Times New Roman" w:eastAsia="方正仿宋简体"/>
          <w:b/>
          <w:bCs/>
          <w:color w:val="auto"/>
          <w:sz w:val="32"/>
          <w:szCs w:val="32"/>
        </w:rPr>
      </w:pPr>
    </w:p>
    <w:sectPr>
      <w:footerReference r:id="rId5" w:type="default"/>
      <w:pgSz w:w="11906" w:h="16838"/>
      <w:pgMar w:top="1803" w:right="1803" w:bottom="1803" w:left="180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rebuchet MS">
    <w:panose1 w:val="020B06030202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32"/>
        <w:szCs w:val="32"/>
      </w:rPr>
      <w:id w:val="756867809"/>
      <w:docPartObj>
        <w:docPartGallery w:val="AutoText"/>
      </w:docPartObj>
    </w:sdtPr>
    <w:sdtEndPr>
      <w:rPr>
        <w:rFonts w:ascii="Times New Roman" w:hAnsi="Times New Roman"/>
        <w:sz w:val="32"/>
        <w:szCs w:val="32"/>
      </w:rPr>
    </w:sdtEndPr>
    <w:sdtContent>
      <w:p>
        <w:pPr>
          <w:pStyle w:val="10"/>
          <w:jc w:val="center"/>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PAGE   \* MERGEFORMAT</w:instrText>
        </w:r>
        <w:r>
          <w:rPr>
            <w:rFonts w:ascii="Times New Roman" w:hAnsi="Times New Roman"/>
            <w:sz w:val="32"/>
            <w:szCs w:val="32"/>
          </w:rPr>
          <w:fldChar w:fldCharType="separate"/>
        </w:r>
        <w:r>
          <w:rPr>
            <w:rFonts w:ascii="Times New Roman" w:hAnsi="Times New Roman"/>
            <w:sz w:val="32"/>
            <w:szCs w:val="32"/>
            <w:lang w:val="zh-CN"/>
          </w:rPr>
          <w:t>2</w:t>
        </w:r>
        <w:r>
          <w:rPr>
            <w:rFonts w:ascii="Times New Roman" w:hAnsi="Times New Roman"/>
            <w:sz w:val="32"/>
            <w:szCs w:val="32"/>
          </w:rPr>
          <w:fldChar w:fldCharType="end"/>
        </w:r>
      </w:p>
    </w:sdtContent>
  </w:sdt>
  <w:p>
    <w:pPr>
      <w:pStyle w:val="10"/>
      <w:jc w:val="right"/>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32"/>
        <w:szCs w:val="32"/>
      </w:rPr>
      <w:id w:val="-747803042"/>
      <w:docPartObj>
        <w:docPartGallery w:val="AutoText"/>
      </w:docPartObj>
    </w:sdtPr>
    <w:sdtEndPr>
      <w:rPr>
        <w:rFonts w:ascii="Times New Roman" w:hAnsi="Times New Roman"/>
        <w:sz w:val="32"/>
        <w:szCs w:val="32"/>
      </w:rPr>
    </w:sdtEndPr>
    <w:sdtContent>
      <w:p>
        <w:pPr>
          <w:pStyle w:val="10"/>
          <w:jc w:val="center"/>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PAGE   \* MERGEFORMAT</w:instrText>
        </w:r>
        <w:r>
          <w:rPr>
            <w:rFonts w:ascii="Times New Roman" w:hAnsi="Times New Roman"/>
            <w:sz w:val="32"/>
            <w:szCs w:val="32"/>
          </w:rPr>
          <w:fldChar w:fldCharType="separate"/>
        </w:r>
        <w:r>
          <w:rPr>
            <w:rFonts w:ascii="Times New Roman" w:hAnsi="Times New Roman"/>
            <w:sz w:val="32"/>
            <w:szCs w:val="32"/>
            <w:lang w:val="zh-CN"/>
          </w:rPr>
          <w:t>2</w:t>
        </w:r>
        <w:r>
          <w:rPr>
            <w:rFonts w:ascii="Times New Roman" w:hAnsi="Times New Roman"/>
            <w:sz w:val="32"/>
            <w:szCs w:val="32"/>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1NzU1ODg3MWYyY2YxODMwODY4MmU0NjYxMThjMzgifQ=="/>
  </w:docVars>
  <w:rsids>
    <w:rsidRoot w:val="00172A27"/>
    <w:rsid w:val="000009E2"/>
    <w:rsid w:val="000028B5"/>
    <w:rsid w:val="00003BE8"/>
    <w:rsid w:val="0000601A"/>
    <w:rsid w:val="0001060F"/>
    <w:rsid w:val="00010C8A"/>
    <w:rsid w:val="00010E81"/>
    <w:rsid w:val="00011998"/>
    <w:rsid w:val="000119C7"/>
    <w:rsid w:val="00013465"/>
    <w:rsid w:val="00013684"/>
    <w:rsid w:val="0001476A"/>
    <w:rsid w:val="0001528B"/>
    <w:rsid w:val="000153D9"/>
    <w:rsid w:val="0002025E"/>
    <w:rsid w:val="0002048A"/>
    <w:rsid w:val="00024047"/>
    <w:rsid w:val="00024312"/>
    <w:rsid w:val="00024925"/>
    <w:rsid w:val="0003098B"/>
    <w:rsid w:val="00032573"/>
    <w:rsid w:val="00033EC5"/>
    <w:rsid w:val="00036435"/>
    <w:rsid w:val="00040C36"/>
    <w:rsid w:val="00041279"/>
    <w:rsid w:val="00041D63"/>
    <w:rsid w:val="00042070"/>
    <w:rsid w:val="000421DB"/>
    <w:rsid w:val="00042240"/>
    <w:rsid w:val="00042A08"/>
    <w:rsid w:val="00042AE4"/>
    <w:rsid w:val="00042D29"/>
    <w:rsid w:val="000437F4"/>
    <w:rsid w:val="0004616F"/>
    <w:rsid w:val="00046478"/>
    <w:rsid w:val="00047365"/>
    <w:rsid w:val="000478EC"/>
    <w:rsid w:val="0005028C"/>
    <w:rsid w:val="000519BF"/>
    <w:rsid w:val="00052096"/>
    <w:rsid w:val="00054625"/>
    <w:rsid w:val="000559A9"/>
    <w:rsid w:val="00055A6E"/>
    <w:rsid w:val="0005764D"/>
    <w:rsid w:val="000622D4"/>
    <w:rsid w:val="00064BC5"/>
    <w:rsid w:val="00065AE8"/>
    <w:rsid w:val="000704F1"/>
    <w:rsid w:val="0007088D"/>
    <w:rsid w:val="00070C3C"/>
    <w:rsid w:val="00073600"/>
    <w:rsid w:val="00073F3D"/>
    <w:rsid w:val="0007428C"/>
    <w:rsid w:val="0007493C"/>
    <w:rsid w:val="000759E2"/>
    <w:rsid w:val="000766DB"/>
    <w:rsid w:val="00077A70"/>
    <w:rsid w:val="00077B2C"/>
    <w:rsid w:val="000805C5"/>
    <w:rsid w:val="00080D6A"/>
    <w:rsid w:val="00082C22"/>
    <w:rsid w:val="00084F2B"/>
    <w:rsid w:val="000911DA"/>
    <w:rsid w:val="00093409"/>
    <w:rsid w:val="00093BEB"/>
    <w:rsid w:val="00094095"/>
    <w:rsid w:val="000940DC"/>
    <w:rsid w:val="00094DCF"/>
    <w:rsid w:val="000957C9"/>
    <w:rsid w:val="00095844"/>
    <w:rsid w:val="00095DBC"/>
    <w:rsid w:val="00096BDE"/>
    <w:rsid w:val="00097050"/>
    <w:rsid w:val="00097585"/>
    <w:rsid w:val="000A0203"/>
    <w:rsid w:val="000A09E2"/>
    <w:rsid w:val="000A4347"/>
    <w:rsid w:val="000A6388"/>
    <w:rsid w:val="000B0D39"/>
    <w:rsid w:val="000B0E32"/>
    <w:rsid w:val="000B1198"/>
    <w:rsid w:val="000B170F"/>
    <w:rsid w:val="000B18F6"/>
    <w:rsid w:val="000B3658"/>
    <w:rsid w:val="000B3F09"/>
    <w:rsid w:val="000C0527"/>
    <w:rsid w:val="000C0C50"/>
    <w:rsid w:val="000C2388"/>
    <w:rsid w:val="000C2FF8"/>
    <w:rsid w:val="000C318E"/>
    <w:rsid w:val="000C3522"/>
    <w:rsid w:val="000C6134"/>
    <w:rsid w:val="000C7404"/>
    <w:rsid w:val="000D0750"/>
    <w:rsid w:val="000D0C0C"/>
    <w:rsid w:val="000D0C63"/>
    <w:rsid w:val="000D1883"/>
    <w:rsid w:val="000D2821"/>
    <w:rsid w:val="000D31B4"/>
    <w:rsid w:val="000D6B7F"/>
    <w:rsid w:val="000E51F0"/>
    <w:rsid w:val="000E571D"/>
    <w:rsid w:val="000E68C7"/>
    <w:rsid w:val="000E6D73"/>
    <w:rsid w:val="000E7405"/>
    <w:rsid w:val="000F0C9E"/>
    <w:rsid w:val="000F1EAA"/>
    <w:rsid w:val="000F5B7B"/>
    <w:rsid w:val="00101284"/>
    <w:rsid w:val="001035AA"/>
    <w:rsid w:val="00104E52"/>
    <w:rsid w:val="00112BA9"/>
    <w:rsid w:val="00113961"/>
    <w:rsid w:val="00113DDA"/>
    <w:rsid w:val="00116148"/>
    <w:rsid w:val="00125003"/>
    <w:rsid w:val="00127064"/>
    <w:rsid w:val="00131AE7"/>
    <w:rsid w:val="00132699"/>
    <w:rsid w:val="001347B2"/>
    <w:rsid w:val="00134C0B"/>
    <w:rsid w:val="0013720C"/>
    <w:rsid w:val="001409BE"/>
    <w:rsid w:val="001430F8"/>
    <w:rsid w:val="0014321D"/>
    <w:rsid w:val="00144816"/>
    <w:rsid w:val="00144F3E"/>
    <w:rsid w:val="00146E1E"/>
    <w:rsid w:val="001471B6"/>
    <w:rsid w:val="00150092"/>
    <w:rsid w:val="00150BA3"/>
    <w:rsid w:val="00151011"/>
    <w:rsid w:val="00151115"/>
    <w:rsid w:val="001518A9"/>
    <w:rsid w:val="001531A0"/>
    <w:rsid w:val="0015351D"/>
    <w:rsid w:val="00160C8A"/>
    <w:rsid w:val="001631DE"/>
    <w:rsid w:val="00166152"/>
    <w:rsid w:val="00166B03"/>
    <w:rsid w:val="001704FA"/>
    <w:rsid w:val="00170DB0"/>
    <w:rsid w:val="00171583"/>
    <w:rsid w:val="00172A27"/>
    <w:rsid w:val="0017474A"/>
    <w:rsid w:val="00174ACB"/>
    <w:rsid w:val="00175417"/>
    <w:rsid w:val="001757B0"/>
    <w:rsid w:val="00177E6D"/>
    <w:rsid w:val="00177F03"/>
    <w:rsid w:val="00180BFA"/>
    <w:rsid w:val="00182109"/>
    <w:rsid w:val="00183A45"/>
    <w:rsid w:val="00183E1D"/>
    <w:rsid w:val="00184312"/>
    <w:rsid w:val="00187224"/>
    <w:rsid w:val="001905E0"/>
    <w:rsid w:val="001922A8"/>
    <w:rsid w:val="00194622"/>
    <w:rsid w:val="00195B5C"/>
    <w:rsid w:val="00195FD9"/>
    <w:rsid w:val="0019624A"/>
    <w:rsid w:val="00196624"/>
    <w:rsid w:val="001970E2"/>
    <w:rsid w:val="001A0845"/>
    <w:rsid w:val="001A3E7F"/>
    <w:rsid w:val="001A501B"/>
    <w:rsid w:val="001A5269"/>
    <w:rsid w:val="001B339C"/>
    <w:rsid w:val="001B39FA"/>
    <w:rsid w:val="001B6764"/>
    <w:rsid w:val="001B6F17"/>
    <w:rsid w:val="001C08DA"/>
    <w:rsid w:val="001C08EE"/>
    <w:rsid w:val="001C1F7B"/>
    <w:rsid w:val="001C345C"/>
    <w:rsid w:val="001C55F3"/>
    <w:rsid w:val="001C5D7A"/>
    <w:rsid w:val="001C6604"/>
    <w:rsid w:val="001C69F5"/>
    <w:rsid w:val="001D1405"/>
    <w:rsid w:val="001D2D6B"/>
    <w:rsid w:val="001D3849"/>
    <w:rsid w:val="001D462E"/>
    <w:rsid w:val="001D5267"/>
    <w:rsid w:val="001D6F13"/>
    <w:rsid w:val="001D6F3F"/>
    <w:rsid w:val="001E013A"/>
    <w:rsid w:val="001E0B0A"/>
    <w:rsid w:val="001E101C"/>
    <w:rsid w:val="001E3181"/>
    <w:rsid w:val="001E45ED"/>
    <w:rsid w:val="001F2619"/>
    <w:rsid w:val="001F3122"/>
    <w:rsid w:val="001F3837"/>
    <w:rsid w:val="001F49CD"/>
    <w:rsid w:val="001F4EEA"/>
    <w:rsid w:val="001F5A50"/>
    <w:rsid w:val="001F62B9"/>
    <w:rsid w:val="001F635F"/>
    <w:rsid w:val="001F6E68"/>
    <w:rsid w:val="001F6FA6"/>
    <w:rsid w:val="002013F4"/>
    <w:rsid w:val="00201629"/>
    <w:rsid w:val="002017EB"/>
    <w:rsid w:val="00202613"/>
    <w:rsid w:val="00202998"/>
    <w:rsid w:val="00205264"/>
    <w:rsid w:val="002056AA"/>
    <w:rsid w:val="002064CC"/>
    <w:rsid w:val="00210771"/>
    <w:rsid w:val="0021194B"/>
    <w:rsid w:val="002128D0"/>
    <w:rsid w:val="002160C4"/>
    <w:rsid w:val="00216824"/>
    <w:rsid w:val="00220E44"/>
    <w:rsid w:val="0022144B"/>
    <w:rsid w:val="002226C4"/>
    <w:rsid w:val="0022338F"/>
    <w:rsid w:val="00223C36"/>
    <w:rsid w:val="00224215"/>
    <w:rsid w:val="00224F38"/>
    <w:rsid w:val="00227D33"/>
    <w:rsid w:val="0023023D"/>
    <w:rsid w:val="00232F02"/>
    <w:rsid w:val="00233C9D"/>
    <w:rsid w:val="00235452"/>
    <w:rsid w:val="00235637"/>
    <w:rsid w:val="002361C5"/>
    <w:rsid w:val="002400E1"/>
    <w:rsid w:val="0024016B"/>
    <w:rsid w:val="002420F6"/>
    <w:rsid w:val="00243599"/>
    <w:rsid w:val="00246C51"/>
    <w:rsid w:val="00247921"/>
    <w:rsid w:val="00247F2B"/>
    <w:rsid w:val="0025021F"/>
    <w:rsid w:val="00252FBC"/>
    <w:rsid w:val="0025328B"/>
    <w:rsid w:val="00253FAB"/>
    <w:rsid w:val="00254B27"/>
    <w:rsid w:val="00254D51"/>
    <w:rsid w:val="00256F63"/>
    <w:rsid w:val="00257264"/>
    <w:rsid w:val="00262DA2"/>
    <w:rsid w:val="00263B46"/>
    <w:rsid w:val="00263CB6"/>
    <w:rsid w:val="002647DF"/>
    <w:rsid w:val="002662DB"/>
    <w:rsid w:val="002670EA"/>
    <w:rsid w:val="00267872"/>
    <w:rsid w:val="00270314"/>
    <w:rsid w:val="00273C31"/>
    <w:rsid w:val="00274EA7"/>
    <w:rsid w:val="00276436"/>
    <w:rsid w:val="00281621"/>
    <w:rsid w:val="002818D3"/>
    <w:rsid w:val="00283D1F"/>
    <w:rsid w:val="00287729"/>
    <w:rsid w:val="002900CE"/>
    <w:rsid w:val="00294031"/>
    <w:rsid w:val="00294EB9"/>
    <w:rsid w:val="0029702C"/>
    <w:rsid w:val="00297112"/>
    <w:rsid w:val="00297406"/>
    <w:rsid w:val="002A1A84"/>
    <w:rsid w:val="002A1F8A"/>
    <w:rsid w:val="002A3AE6"/>
    <w:rsid w:val="002A4A49"/>
    <w:rsid w:val="002B054B"/>
    <w:rsid w:val="002B1107"/>
    <w:rsid w:val="002B14AD"/>
    <w:rsid w:val="002B1DC7"/>
    <w:rsid w:val="002B1F3E"/>
    <w:rsid w:val="002B6070"/>
    <w:rsid w:val="002B6AEC"/>
    <w:rsid w:val="002B6C87"/>
    <w:rsid w:val="002B7FE8"/>
    <w:rsid w:val="002C05D2"/>
    <w:rsid w:val="002C369E"/>
    <w:rsid w:val="002C3D3F"/>
    <w:rsid w:val="002C46C0"/>
    <w:rsid w:val="002C49C4"/>
    <w:rsid w:val="002C5B23"/>
    <w:rsid w:val="002C640F"/>
    <w:rsid w:val="002C66D4"/>
    <w:rsid w:val="002C6787"/>
    <w:rsid w:val="002D14C8"/>
    <w:rsid w:val="002D33CC"/>
    <w:rsid w:val="002D779C"/>
    <w:rsid w:val="002E3A7C"/>
    <w:rsid w:val="002E53FA"/>
    <w:rsid w:val="002E56C5"/>
    <w:rsid w:val="002E755B"/>
    <w:rsid w:val="002F1577"/>
    <w:rsid w:val="002F1ACB"/>
    <w:rsid w:val="002F297A"/>
    <w:rsid w:val="002F2F1E"/>
    <w:rsid w:val="002F2F36"/>
    <w:rsid w:val="002F462D"/>
    <w:rsid w:val="002F60C9"/>
    <w:rsid w:val="002F64E4"/>
    <w:rsid w:val="00300734"/>
    <w:rsid w:val="00300C93"/>
    <w:rsid w:val="003034CA"/>
    <w:rsid w:val="0030741A"/>
    <w:rsid w:val="0031021B"/>
    <w:rsid w:val="00310391"/>
    <w:rsid w:val="00313F7A"/>
    <w:rsid w:val="00314030"/>
    <w:rsid w:val="00314994"/>
    <w:rsid w:val="0031502D"/>
    <w:rsid w:val="00315B7E"/>
    <w:rsid w:val="00315D62"/>
    <w:rsid w:val="00317B12"/>
    <w:rsid w:val="00321CC4"/>
    <w:rsid w:val="00322A43"/>
    <w:rsid w:val="00322D90"/>
    <w:rsid w:val="00324BC7"/>
    <w:rsid w:val="00325AFF"/>
    <w:rsid w:val="00326872"/>
    <w:rsid w:val="003274F7"/>
    <w:rsid w:val="003304D9"/>
    <w:rsid w:val="00330967"/>
    <w:rsid w:val="00331E8E"/>
    <w:rsid w:val="0033236F"/>
    <w:rsid w:val="00334EA7"/>
    <w:rsid w:val="003359D5"/>
    <w:rsid w:val="003403F9"/>
    <w:rsid w:val="00340A60"/>
    <w:rsid w:val="00340E9A"/>
    <w:rsid w:val="00341C0B"/>
    <w:rsid w:val="00344D2D"/>
    <w:rsid w:val="003478F6"/>
    <w:rsid w:val="00347F4E"/>
    <w:rsid w:val="00350843"/>
    <w:rsid w:val="00351CCB"/>
    <w:rsid w:val="00352318"/>
    <w:rsid w:val="003546A9"/>
    <w:rsid w:val="003558B8"/>
    <w:rsid w:val="003601E0"/>
    <w:rsid w:val="0036112F"/>
    <w:rsid w:val="00361B7C"/>
    <w:rsid w:val="00362C53"/>
    <w:rsid w:val="00364B31"/>
    <w:rsid w:val="003679F9"/>
    <w:rsid w:val="003701B8"/>
    <w:rsid w:val="00375207"/>
    <w:rsid w:val="003754FC"/>
    <w:rsid w:val="00376699"/>
    <w:rsid w:val="0038001E"/>
    <w:rsid w:val="0038118F"/>
    <w:rsid w:val="003813A2"/>
    <w:rsid w:val="003825D0"/>
    <w:rsid w:val="00382829"/>
    <w:rsid w:val="00383689"/>
    <w:rsid w:val="0038620B"/>
    <w:rsid w:val="003908E1"/>
    <w:rsid w:val="003912C1"/>
    <w:rsid w:val="00392D6C"/>
    <w:rsid w:val="00395068"/>
    <w:rsid w:val="003952F2"/>
    <w:rsid w:val="00397D51"/>
    <w:rsid w:val="003A05C8"/>
    <w:rsid w:val="003A25F6"/>
    <w:rsid w:val="003A2F7C"/>
    <w:rsid w:val="003A54CA"/>
    <w:rsid w:val="003A5B43"/>
    <w:rsid w:val="003A66D5"/>
    <w:rsid w:val="003A6E4B"/>
    <w:rsid w:val="003A7CEA"/>
    <w:rsid w:val="003A7E77"/>
    <w:rsid w:val="003B0975"/>
    <w:rsid w:val="003B0E97"/>
    <w:rsid w:val="003B1F0C"/>
    <w:rsid w:val="003B1FE4"/>
    <w:rsid w:val="003B4AEE"/>
    <w:rsid w:val="003B53A3"/>
    <w:rsid w:val="003B67B2"/>
    <w:rsid w:val="003B6FFD"/>
    <w:rsid w:val="003B7493"/>
    <w:rsid w:val="003B7BF2"/>
    <w:rsid w:val="003B7DD5"/>
    <w:rsid w:val="003C1ACB"/>
    <w:rsid w:val="003C3CBB"/>
    <w:rsid w:val="003C49A3"/>
    <w:rsid w:val="003C5AEF"/>
    <w:rsid w:val="003C5BD5"/>
    <w:rsid w:val="003D0A92"/>
    <w:rsid w:val="003D1639"/>
    <w:rsid w:val="003D19B6"/>
    <w:rsid w:val="003D37BB"/>
    <w:rsid w:val="003D387A"/>
    <w:rsid w:val="003D3979"/>
    <w:rsid w:val="003D5634"/>
    <w:rsid w:val="003D6104"/>
    <w:rsid w:val="003D78F1"/>
    <w:rsid w:val="003E15B8"/>
    <w:rsid w:val="003E37F2"/>
    <w:rsid w:val="003E427E"/>
    <w:rsid w:val="003E4EFB"/>
    <w:rsid w:val="003E50E8"/>
    <w:rsid w:val="003E5B54"/>
    <w:rsid w:val="003F156D"/>
    <w:rsid w:val="003F1F81"/>
    <w:rsid w:val="003F35CF"/>
    <w:rsid w:val="003F4451"/>
    <w:rsid w:val="003F7E72"/>
    <w:rsid w:val="00402DCD"/>
    <w:rsid w:val="004035AA"/>
    <w:rsid w:val="00403621"/>
    <w:rsid w:val="00403F37"/>
    <w:rsid w:val="0040424E"/>
    <w:rsid w:val="00405688"/>
    <w:rsid w:val="004068AF"/>
    <w:rsid w:val="0040708F"/>
    <w:rsid w:val="004073DF"/>
    <w:rsid w:val="00407F7B"/>
    <w:rsid w:val="00412324"/>
    <w:rsid w:val="004123AD"/>
    <w:rsid w:val="00414BC3"/>
    <w:rsid w:val="00415770"/>
    <w:rsid w:val="00415885"/>
    <w:rsid w:val="00415A65"/>
    <w:rsid w:val="00415E92"/>
    <w:rsid w:val="00416226"/>
    <w:rsid w:val="00416D74"/>
    <w:rsid w:val="00417622"/>
    <w:rsid w:val="00421213"/>
    <w:rsid w:val="00422C35"/>
    <w:rsid w:val="0042571A"/>
    <w:rsid w:val="0042599D"/>
    <w:rsid w:val="00425E1E"/>
    <w:rsid w:val="00425EE3"/>
    <w:rsid w:val="0042613A"/>
    <w:rsid w:val="00426FDB"/>
    <w:rsid w:val="004277C8"/>
    <w:rsid w:val="00427EF0"/>
    <w:rsid w:val="00432AA3"/>
    <w:rsid w:val="0043454C"/>
    <w:rsid w:val="00441665"/>
    <w:rsid w:val="00445680"/>
    <w:rsid w:val="00446863"/>
    <w:rsid w:val="004473B3"/>
    <w:rsid w:val="00450C03"/>
    <w:rsid w:val="00450E6F"/>
    <w:rsid w:val="00452BE3"/>
    <w:rsid w:val="004532CD"/>
    <w:rsid w:val="0045609F"/>
    <w:rsid w:val="00456E1B"/>
    <w:rsid w:val="00460124"/>
    <w:rsid w:val="00460F66"/>
    <w:rsid w:val="00461F9D"/>
    <w:rsid w:val="004625E3"/>
    <w:rsid w:val="004637E0"/>
    <w:rsid w:val="004641A0"/>
    <w:rsid w:val="00470D10"/>
    <w:rsid w:val="004716F2"/>
    <w:rsid w:val="0047228E"/>
    <w:rsid w:val="00473640"/>
    <w:rsid w:val="0047423D"/>
    <w:rsid w:val="00474CC6"/>
    <w:rsid w:val="00476341"/>
    <w:rsid w:val="004764B5"/>
    <w:rsid w:val="00477EA1"/>
    <w:rsid w:val="004814DE"/>
    <w:rsid w:val="00483AF1"/>
    <w:rsid w:val="004859F5"/>
    <w:rsid w:val="00485A02"/>
    <w:rsid w:val="0048658B"/>
    <w:rsid w:val="004865EF"/>
    <w:rsid w:val="0048669D"/>
    <w:rsid w:val="00487194"/>
    <w:rsid w:val="004902E5"/>
    <w:rsid w:val="004923D6"/>
    <w:rsid w:val="00492CFA"/>
    <w:rsid w:val="0049657D"/>
    <w:rsid w:val="004A0E74"/>
    <w:rsid w:val="004A0EF2"/>
    <w:rsid w:val="004A5312"/>
    <w:rsid w:val="004B052F"/>
    <w:rsid w:val="004B13F4"/>
    <w:rsid w:val="004B15A4"/>
    <w:rsid w:val="004B336E"/>
    <w:rsid w:val="004B5B79"/>
    <w:rsid w:val="004C0A9D"/>
    <w:rsid w:val="004C2C4B"/>
    <w:rsid w:val="004C3624"/>
    <w:rsid w:val="004C62B7"/>
    <w:rsid w:val="004D094A"/>
    <w:rsid w:val="004D211B"/>
    <w:rsid w:val="004D27E9"/>
    <w:rsid w:val="004D5A47"/>
    <w:rsid w:val="004D662A"/>
    <w:rsid w:val="004D7D43"/>
    <w:rsid w:val="004E050E"/>
    <w:rsid w:val="004E3253"/>
    <w:rsid w:val="004E65D4"/>
    <w:rsid w:val="004F2EDB"/>
    <w:rsid w:val="004F3D44"/>
    <w:rsid w:val="004F57C5"/>
    <w:rsid w:val="004F69D3"/>
    <w:rsid w:val="004F6D9F"/>
    <w:rsid w:val="004F714D"/>
    <w:rsid w:val="004F7BCA"/>
    <w:rsid w:val="005001D2"/>
    <w:rsid w:val="00500C7A"/>
    <w:rsid w:val="005014D3"/>
    <w:rsid w:val="005037B4"/>
    <w:rsid w:val="00503D09"/>
    <w:rsid w:val="005040D2"/>
    <w:rsid w:val="00504EBC"/>
    <w:rsid w:val="0050538F"/>
    <w:rsid w:val="0050735D"/>
    <w:rsid w:val="00507B7A"/>
    <w:rsid w:val="00510A3D"/>
    <w:rsid w:val="005111DE"/>
    <w:rsid w:val="005172CF"/>
    <w:rsid w:val="00521A92"/>
    <w:rsid w:val="00521BAC"/>
    <w:rsid w:val="00523361"/>
    <w:rsid w:val="00523B49"/>
    <w:rsid w:val="00523FF3"/>
    <w:rsid w:val="0052767C"/>
    <w:rsid w:val="00532A40"/>
    <w:rsid w:val="00533052"/>
    <w:rsid w:val="00533C6D"/>
    <w:rsid w:val="00535C1E"/>
    <w:rsid w:val="00535E7E"/>
    <w:rsid w:val="005364F5"/>
    <w:rsid w:val="00536C68"/>
    <w:rsid w:val="00536F88"/>
    <w:rsid w:val="005373A5"/>
    <w:rsid w:val="00542F45"/>
    <w:rsid w:val="00543BBE"/>
    <w:rsid w:val="00544715"/>
    <w:rsid w:val="00545B73"/>
    <w:rsid w:val="00545CC1"/>
    <w:rsid w:val="00545E58"/>
    <w:rsid w:val="0054618F"/>
    <w:rsid w:val="00546499"/>
    <w:rsid w:val="00547B79"/>
    <w:rsid w:val="00547D85"/>
    <w:rsid w:val="00547F7F"/>
    <w:rsid w:val="00550905"/>
    <w:rsid w:val="0055195F"/>
    <w:rsid w:val="0055381B"/>
    <w:rsid w:val="00553A3A"/>
    <w:rsid w:val="00562778"/>
    <w:rsid w:val="00562889"/>
    <w:rsid w:val="00565BFF"/>
    <w:rsid w:val="00565E25"/>
    <w:rsid w:val="00566BF8"/>
    <w:rsid w:val="00567A36"/>
    <w:rsid w:val="00570B3E"/>
    <w:rsid w:val="00570CC5"/>
    <w:rsid w:val="00572DE6"/>
    <w:rsid w:val="00573491"/>
    <w:rsid w:val="0057489B"/>
    <w:rsid w:val="005749B8"/>
    <w:rsid w:val="005749E4"/>
    <w:rsid w:val="0057561C"/>
    <w:rsid w:val="005767D1"/>
    <w:rsid w:val="00576B11"/>
    <w:rsid w:val="00577420"/>
    <w:rsid w:val="005801D4"/>
    <w:rsid w:val="00583F60"/>
    <w:rsid w:val="00584204"/>
    <w:rsid w:val="00584FCF"/>
    <w:rsid w:val="005875AD"/>
    <w:rsid w:val="00587908"/>
    <w:rsid w:val="0059219F"/>
    <w:rsid w:val="005939DF"/>
    <w:rsid w:val="0059420E"/>
    <w:rsid w:val="005945A5"/>
    <w:rsid w:val="005946AC"/>
    <w:rsid w:val="005974A6"/>
    <w:rsid w:val="005A0E74"/>
    <w:rsid w:val="005A345C"/>
    <w:rsid w:val="005A44E5"/>
    <w:rsid w:val="005B0894"/>
    <w:rsid w:val="005B1884"/>
    <w:rsid w:val="005B1B40"/>
    <w:rsid w:val="005B1CF2"/>
    <w:rsid w:val="005B2469"/>
    <w:rsid w:val="005B3565"/>
    <w:rsid w:val="005B53CA"/>
    <w:rsid w:val="005B5C84"/>
    <w:rsid w:val="005B66C8"/>
    <w:rsid w:val="005B6703"/>
    <w:rsid w:val="005C0E61"/>
    <w:rsid w:val="005C206C"/>
    <w:rsid w:val="005C385F"/>
    <w:rsid w:val="005C4839"/>
    <w:rsid w:val="005C5F2E"/>
    <w:rsid w:val="005C7365"/>
    <w:rsid w:val="005D1C27"/>
    <w:rsid w:val="005D2561"/>
    <w:rsid w:val="005D2779"/>
    <w:rsid w:val="005D2E69"/>
    <w:rsid w:val="005D45FB"/>
    <w:rsid w:val="005D4F05"/>
    <w:rsid w:val="005D5277"/>
    <w:rsid w:val="005E11E4"/>
    <w:rsid w:val="005E30FD"/>
    <w:rsid w:val="005E3A92"/>
    <w:rsid w:val="005E4C48"/>
    <w:rsid w:val="005E5511"/>
    <w:rsid w:val="005E5ECE"/>
    <w:rsid w:val="005F312F"/>
    <w:rsid w:val="005F4FFD"/>
    <w:rsid w:val="0060286D"/>
    <w:rsid w:val="00604103"/>
    <w:rsid w:val="00604433"/>
    <w:rsid w:val="00605353"/>
    <w:rsid w:val="006056F3"/>
    <w:rsid w:val="00606EF1"/>
    <w:rsid w:val="00611F9E"/>
    <w:rsid w:val="00612584"/>
    <w:rsid w:val="00616B16"/>
    <w:rsid w:val="00620131"/>
    <w:rsid w:val="0062028E"/>
    <w:rsid w:val="00620DC8"/>
    <w:rsid w:val="0062136F"/>
    <w:rsid w:val="006257BD"/>
    <w:rsid w:val="00626B42"/>
    <w:rsid w:val="00627B1A"/>
    <w:rsid w:val="006311C9"/>
    <w:rsid w:val="00631B31"/>
    <w:rsid w:val="00632D3D"/>
    <w:rsid w:val="006345AB"/>
    <w:rsid w:val="00634DCC"/>
    <w:rsid w:val="00634DE9"/>
    <w:rsid w:val="00636DA8"/>
    <w:rsid w:val="00637B0B"/>
    <w:rsid w:val="00641BD4"/>
    <w:rsid w:val="00650727"/>
    <w:rsid w:val="006529B9"/>
    <w:rsid w:val="006548A8"/>
    <w:rsid w:val="0065619D"/>
    <w:rsid w:val="00660AAF"/>
    <w:rsid w:val="0066352E"/>
    <w:rsid w:val="00663922"/>
    <w:rsid w:val="00665DCC"/>
    <w:rsid w:val="006660D9"/>
    <w:rsid w:val="00667350"/>
    <w:rsid w:val="00667591"/>
    <w:rsid w:val="00667B62"/>
    <w:rsid w:val="00667DE6"/>
    <w:rsid w:val="006706D7"/>
    <w:rsid w:val="00672F92"/>
    <w:rsid w:val="006800C7"/>
    <w:rsid w:val="006803E3"/>
    <w:rsid w:val="0068079F"/>
    <w:rsid w:val="0068435F"/>
    <w:rsid w:val="00684813"/>
    <w:rsid w:val="00684B08"/>
    <w:rsid w:val="00686163"/>
    <w:rsid w:val="00686867"/>
    <w:rsid w:val="00687FFB"/>
    <w:rsid w:val="00691905"/>
    <w:rsid w:val="00693BC5"/>
    <w:rsid w:val="00697D96"/>
    <w:rsid w:val="006A3EB5"/>
    <w:rsid w:val="006A758C"/>
    <w:rsid w:val="006B0803"/>
    <w:rsid w:val="006B0CBC"/>
    <w:rsid w:val="006B22BC"/>
    <w:rsid w:val="006B41B7"/>
    <w:rsid w:val="006B6072"/>
    <w:rsid w:val="006B6820"/>
    <w:rsid w:val="006B79E5"/>
    <w:rsid w:val="006C1C36"/>
    <w:rsid w:val="006C1CFC"/>
    <w:rsid w:val="006C205A"/>
    <w:rsid w:val="006C60BB"/>
    <w:rsid w:val="006C66C8"/>
    <w:rsid w:val="006C6ACE"/>
    <w:rsid w:val="006C7A55"/>
    <w:rsid w:val="006C7D37"/>
    <w:rsid w:val="006C7F25"/>
    <w:rsid w:val="006D0804"/>
    <w:rsid w:val="006D09BA"/>
    <w:rsid w:val="006D1375"/>
    <w:rsid w:val="006D1716"/>
    <w:rsid w:val="006D19D4"/>
    <w:rsid w:val="006D3E3B"/>
    <w:rsid w:val="006D6BB3"/>
    <w:rsid w:val="006D700C"/>
    <w:rsid w:val="006D7086"/>
    <w:rsid w:val="006D7B32"/>
    <w:rsid w:val="006D7F36"/>
    <w:rsid w:val="006E0129"/>
    <w:rsid w:val="006E0C29"/>
    <w:rsid w:val="006E4918"/>
    <w:rsid w:val="006E66A0"/>
    <w:rsid w:val="006E74A2"/>
    <w:rsid w:val="006E7867"/>
    <w:rsid w:val="006F0696"/>
    <w:rsid w:val="006F1C42"/>
    <w:rsid w:val="006F5B2E"/>
    <w:rsid w:val="0070087A"/>
    <w:rsid w:val="00700BB9"/>
    <w:rsid w:val="00702A66"/>
    <w:rsid w:val="00704200"/>
    <w:rsid w:val="00704311"/>
    <w:rsid w:val="007069B1"/>
    <w:rsid w:val="00707332"/>
    <w:rsid w:val="007103B8"/>
    <w:rsid w:val="00711DB9"/>
    <w:rsid w:val="0071369C"/>
    <w:rsid w:val="00714220"/>
    <w:rsid w:val="00715A84"/>
    <w:rsid w:val="00715ABB"/>
    <w:rsid w:val="00717CF4"/>
    <w:rsid w:val="00721931"/>
    <w:rsid w:val="00721FFF"/>
    <w:rsid w:val="00723E49"/>
    <w:rsid w:val="00724FC5"/>
    <w:rsid w:val="0072646F"/>
    <w:rsid w:val="00727EA8"/>
    <w:rsid w:val="007309DE"/>
    <w:rsid w:val="00731E76"/>
    <w:rsid w:val="00733937"/>
    <w:rsid w:val="00735090"/>
    <w:rsid w:val="00735CC4"/>
    <w:rsid w:val="0073717A"/>
    <w:rsid w:val="00737707"/>
    <w:rsid w:val="00737A7E"/>
    <w:rsid w:val="007412EA"/>
    <w:rsid w:val="00741DB9"/>
    <w:rsid w:val="00742C6A"/>
    <w:rsid w:val="007446A1"/>
    <w:rsid w:val="007476E5"/>
    <w:rsid w:val="0075076F"/>
    <w:rsid w:val="00751123"/>
    <w:rsid w:val="0075248E"/>
    <w:rsid w:val="007546BB"/>
    <w:rsid w:val="00755B5F"/>
    <w:rsid w:val="007571E3"/>
    <w:rsid w:val="00761BF9"/>
    <w:rsid w:val="00764846"/>
    <w:rsid w:val="00765AC6"/>
    <w:rsid w:val="00766757"/>
    <w:rsid w:val="0076722E"/>
    <w:rsid w:val="0077133B"/>
    <w:rsid w:val="00771398"/>
    <w:rsid w:val="007721CB"/>
    <w:rsid w:val="0077314D"/>
    <w:rsid w:val="00774922"/>
    <w:rsid w:val="0077639F"/>
    <w:rsid w:val="00777985"/>
    <w:rsid w:val="00777E61"/>
    <w:rsid w:val="00782BA0"/>
    <w:rsid w:val="00782EC2"/>
    <w:rsid w:val="007833E3"/>
    <w:rsid w:val="00783C91"/>
    <w:rsid w:val="00785BB3"/>
    <w:rsid w:val="00787246"/>
    <w:rsid w:val="007874EE"/>
    <w:rsid w:val="00790390"/>
    <w:rsid w:val="007908A3"/>
    <w:rsid w:val="00790A52"/>
    <w:rsid w:val="00790E55"/>
    <w:rsid w:val="007938A9"/>
    <w:rsid w:val="00794853"/>
    <w:rsid w:val="0079549B"/>
    <w:rsid w:val="00796125"/>
    <w:rsid w:val="00797BD4"/>
    <w:rsid w:val="007A24BF"/>
    <w:rsid w:val="007A3926"/>
    <w:rsid w:val="007A4460"/>
    <w:rsid w:val="007A44A7"/>
    <w:rsid w:val="007A4C12"/>
    <w:rsid w:val="007A5851"/>
    <w:rsid w:val="007A5FCB"/>
    <w:rsid w:val="007A6AC6"/>
    <w:rsid w:val="007A7ABF"/>
    <w:rsid w:val="007B1B9B"/>
    <w:rsid w:val="007B22BE"/>
    <w:rsid w:val="007B2333"/>
    <w:rsid w:val="007B3A61"/>
    <w:rsid w:val="007B4D46"/>
    <w:rsid w:val="007C1BEA"/>
    <w:rsid w:val="007C2A34"/>
    <w:rsid w:val="007C333D"/>
    <w:rsid w:val="007C3CB5"/>
    <w:rsid w:val="007C3F1B"/>
    <w:rsid w:val="007C48C4"/>
    <w:rsid w:val="007C71BA"/>
    <w:rsid w:val="007D1EA1"/>
    <w:rsid w:val="007D2051"/>
    <w:rsid w:val="007D254C"/>
    <w:rsid w:val="007D5BB4"/>
    <w:rsid w:val="007D6B75"/>
    <w:rsid w:val="007E07AD"/>
    <w:rsid w:val="007E269F"/>
    <w:rsid w:val="007E4CDB"/>
    <w:rsid w:val="007E5DDE"/>
    <w:rsid w:val="007E5F5E"/>
    <w:rsid w:val="007E5FDF"/>
    <w:rsid w:val="007E6291"/>
    <w:rsid w:val="007F0A62"/>
    <w:rsid w:val="007F0D50"/>
    <w:rsid w:val="007F150C"/>
    <w:rsid w:val="007F1B4F"/>
    <w:rsid w:val="007F278E"/>
    <w:rsid w:val="007F2C88"/>
    <w:rsid w:val="007F459A"/>
    <w:rsid w:val="007F5164"/>
    <w:rsid w:val="007F6F5F"/>
    <w:rsid w:val="00800682"/>
    <w:rsid w:val="008015D3"/>
    <w:rsid w:val="00801D0D"/>
    <w:rsid w:val="00801F47"/>
    <w:rsid w:val="008025B7"/>
    <w:rsid w:val="00802C2C"/>
    <w:rsid w:val="00802F01"/>
    <w:rsid w:val="00803019"/>
    <w:rsid w:val="00804536"/>
    <w:rsid w:val="00805D02"/>
    <w:rsid w:val="008069D7"/>
    <w:rsid w:val="008070BC"/>
    <w:rsid w:val="00810812"/>
    <w:rsid w:val="00810CBE"/>
    <w:rsid w:val="00811A3A"/>
    <w:rsid w:val="008132A4"/>
    <w:rsid w:val="00813829"/>
    <w:rsid w:val="00816833"/>
    <w:rsid w:val="0081781B"/>
    <w:rsid w:val="00820612"/>
    <w:rsid w:val="00821623"/>
    <w:rsid w:val="008243B0"/>
    <w:rsid w:val="00824CF0"/>
    <w:rsid w:val="0082670A"/>
    <w:rsid w:val="00827DCE"/>
    <w:rsid w:val="00830167"/>
    <w:rsid w:val="00831C5D"/>
    <w:rsid w:val="00832839"/>
    <w:rsid w:val="00832C31"/>
    <w:rsid w:val="00833CA3"/>
    <w:rsid w:val="0083514F"/>
    <w:rsid w:val="0084140C"/>
    <w:rsid w:val="00842030"/>
    <w:rsid w:val="008423A4"/>
    <w:rsid w:val="008426EF"/>
    <w:rsid w:val="00842B2C"/>
    <w:rsid w:val="008434FB"/>
    <w:rsid w:val="00847DA4"/>
    <w:rsid w:val="00854776"/>
    <w:rsid w:val="00854944"/>
    <w:rsid w:val="00856C00"/>
    <w:rsid w:val="00856D94"/>
    <w:rsid w:val="0086061B"/>
    <w:rsid w:val="00862444"/>
    <w:rsid w:val="0086255F"/>
    <w:rsid w:val="00862D9B"/>
    <w:rsid w:val="008638F7"/>
    <w:rsid w:val="008641EF"/>
    <w:rsid w:val="00864767"/>
    <w:rsid w:val="00865D55"/>
    <w:rsid w:val="008664F3"/>
    <w:rsid w:val="00867891"/>
    <w:rsid w:val="0087249A"/>
    <w:rsid w:val="00873598"/>
    <w:rsid w:val="00874999"/>
    <w:rsid w:val="00874FCA"/>
    <w:rsid w:val="008767A9"/>
    <w:rsid w:val="00877416"/>
    <w:rsid w:val="00882B23"/>
    <w:rsid w:val="00884244"/>
    <w:rsid w:val="0088453B"/>
    <w:rsid w:val="008848C0"/>
    <w:rsid w:val="00884A24"/>
    <w:rsid w:val="00886963"/>
    <w:rsid w:val="008910F1"/>
    <w:rsid w:val="00894233"/>
    <w:rsid w:val="00894553"/>
    <w:rsid w:val="008958AF"/>
    <w:rsid w:val="008A1173"/>
    <w:rsid w:val="008A4270"/>
    <w:rsid w:val="008A79A6"/>
    <w:rsid w:val="008A7FBB"/>
    <w:rsid w:val="008B2B83"/>
    <w:rsid w:val="008B3568"/>
    <w:rsid w:val="008B47C8"/>
    <w:rsid w:val="008C0B4B"/>
    <w:rsid w:val="008C0BCD"/>
    <w:rsid w:val="008C0C12"/>
    <w:rsid w:val="008C15D7"/>
    <w:rsid w:val="008C1B69"/>
    <w:rsid w:val="008C552F"/>
    <w:rsid w:val="008C5E44"/>
    <w:rsid w:val="008C6C69"/>
    <w:rsid w:val="008C6CCF"/>
    <w:rsid w:val="008D1A80"/>
    <w:rsid w:val="008D2CD5"/>
    <w:rsid w:val="008D345A"/>
    <w:rsid w:val="008D370A"/>
    <w:rsid w:val="008D3E4C"/>
    <w:rsid w:val="008D42F1"/>
    <w:rsid w:val="008D4726"/>
    <w:rsid w:val="008D4B40"/>
    <w:rsid w:val="008D4DAF"/>
    <w:rsid w:val="008D5DA8"/>
    <w:rsid w:val="008D6403"/>
    <w:rsid w:val="008D783F"/>
    <w:rsid w:val="008E03A7"/>
    <w:rsid w:val="008E1ECA"/>
    <w:rsid w:val="008E20EA"/>
    <w:rsid w:val="008E37A0"/>
    <w:rsid w:val="008E78E5"/>
    <w:rsid w:val="008E7D89"/>
    <w:rsid w:val="008F17F4"/>
    <w:rsid w:val="008F39F3"/>
    <w:rsid w:val="008F45A0"/>
    <w:rsid w:val="008F6426"/>
    <w:rsid w:val="008F7A94"/>
    <w:rsid w:val="0090121C"/>
    <w:rsid w:val="0090144D"/>
    <w:rsid w:val="0090219D"/>
    <w:rsid w:val="00903251"/>
    <w:rsid w:val="00905511"/>
    <w:rsid w:val="0090612C"/>
    <w:rsid w:val="00906983"/>
    <w:rsid w:val="00907C44"/>
    <w:rsid w:val="00910522"/>
    <w:rsid w:val="009107A5"/>
    <w:rsid w:val="00910AE6"/>
    <w:rsid w:val="00910FFC"/>
    <w:rsid w:val="00911ED6"/>
    <w:rsid w:val="009144A3"/>
    <w:rsid w:val="00914676"/>
    <w:rsid w:val="00914EF4"/>
    <w:rsid w:val="00917068"/>
    <w:rsid w:val="00920BB2"/>
    <w:rsid w:val="00921306"/>
    <w:rsid w:val="00922207"/>
    <w:rsid w:val="009231FC"/>
    <w:rsid w:val="00926201"/>
    <w:rsid w:val="009264C1"/>
    <w:rsid w:val="009265A6"/>
    <w:rsid w:val="00927003"/>
    <w:rsid w:val="009274A2"/>
    <w:rsid w:val="00927B8B"/>
    <w:rsid w:val="0094145D"/>
    <w:rsid w:val="00941F5B"/>
    <w:rsid w:val="0094276D"/>
    <w:rsid w:val="0094448D"/>
    <w:rsid w:val="009452BF"/>
    <w:rsid w:val="009454C4"/>
    <w:rsid w:val="00945B95"/>
    <w:rsid w:val="009466C6"/>
    <w:rsid w:val="00946837"/>
    <w:rsid w:val="009475F8"/>
    <w:rsid w:val="00947692"/>
    <w:rsid w:val="00950FA9"/>
    <w:rsid w:val="00951359"/>
    <w:rsid w:val="009517E1"/>
    <w:rsid w:val="00953FDC"/>
    <w:rsid w:val="00954121"/>
    <w:rsid w:val="009560C3"/>
    <w:rsid w:val="00957A4E"/>
    <w:rsid w:val="00957C90"/>
    <w:rsid w:val="00957E7B"/>
    <w:rsid w:val="009613D0"/>
    <w:rsid w:val="00963335"/>
    <w:rsid w:val="00963FEB"/>
    <w:rsid w:val="009642A2"/>
    <w:rsid w:val="00965764"/>
    <w:rsid w:val="009665A6"/>
    <w:rsid w:val="009704E1"/>
    <w:rsid w:val="00970B5B"/>
    <w:rsid w:val="009757AB"/>
    <w:rsid w:val="00975DC0"/>
    <w:rsid w:val="00976D15"/>
    <w:rsid w:val="0097713F"/>
    <w:rsid w:val="00977A0D"/>
    <w:rsid w:val="00977B8B"/>
    <w:rsid w:val="00983114"/>
    <w:rsid w:val="00983DAE"/>
    <w:rsid w:val="009858D5"/>
    <w:rsid w:val="00987E8B"/>
    <w:rsid w:val="00991786"/>
    <w:rsid w:val="00991B09"/>
    <w:rsid w:val="0099269D"/>
    <w:rsid w:val="009934AA"/>
    <w:rsid w:val="00993B90"/>
    <w:rsid w:val="0099437A"/>
    <w:rsid w:val="0099511A"/>
    <w:rsid w:val="00995DCC"/>
    <w:rsid w:val="009975E5"/>
    <w:rsid w:val="009A0E8B"/>
    <w:rsid w:val="009A23BB"/>
    <w:rsid w:val="009A52E2"/>
    <w:rsid w:val="009A6342"/>
    <w:rsid w:val="009B00CD"/>
    <w:rsid w:val="009B0773"/>
    <w:rsid w:val="009B1B15"/>
    <w:rsid w:val="009B2088"/>
    <w:rsid w:val="009B21E1"/>
    <w:rsid w:val="009B27D6"/>
    <w:rsid w:val="009B3033"/>
    <w:rsid w:val="009B3F29"/>
    <w:rsid w:val="009B5AF8"/>
    <w:rsid w:val="009B679E"/>
    <w:rsid w:val="009B6F4E"/>
    <w:rsid w:val="009C0357"/>
    <w:rsid w:val="009C0953"/>
    <w:rsid w:val="009C27B7"/>
    <w:rsid w:val="009C32AF"/>
    <w:rsid w:val="009C37AB"/>
    <w:rsid w:val="009C3D19"/>
    <w:rsid w:val="009C66E6"/>
    <w:rsid w:val="009C7581"/>
    <w:rsid w:val="009C7F6E"/>
    <w:rsid w:val="009C7F98"/>
    <w:rsid w:val="009D0781"/>
    <w:rsid w:val="009D0D04"/>
    <w:rsid w:val="009D2403"/>
    <w:rsid w:val="009D42F4"/>
    <w:rsid w:val="009D4782"/>
    <w:rsid w:val="009D7179"/>
    <w:rsid w:val="009D7C0E"/>
    <w:rsid w:val="009D7DBD"/>
    <w:rsid w:val="009D7F1E"/>
    <w:rsid w:val="009E165E"/>
    <w:rsid w:val="009E4B54"/>
    <w:rsid w:val="009E65B2"/>
    <w:rsid w:val="009E7464"/>
    <w:rsid w:val="009F11EF"/>
    <w:rsid w:val="009F1339"/>
    <w:rsid w:val="009F16DA"/>
    <w:rsid w:val="009F2807"/>
    <w:rsid w:val="009F3043"/>
    <w:rsid w:val="009F32FF"/>
    <w:rsid w:val="009F33E6"/>
    <w:rsid w:val="009F3E60"/>
    <w:rsid w:val="009F707A"/>
    <w:rsid w:val="009F7670"/>
    <w:rsid w:val="009F7727"/>
    <w:rsid w:val="00A05158"/>
    <w:rsid w:val="00A05D43"/>
    <w:rsid w:val="00A1025B"/>
    <w:rsid w:val="00A10D5A"/>
    <w:rsid w:val="00A11A23"/>
    <w:rsid w:val="00A11E4A"/>
    <w:rsid w:val="00A121BB"/>
    <w:rsid w:val="00A1241F"/>
    <w:rsid w:val="00A14AE4"/>
    <w:rsid w:val="00A17827"/>
    <w:rsid w:val="00A22ABA"/>
    <w:rsid w:val="00A230C2"/>
    <w:rsid w:val="00A232BF"/>
    <w:rsid w:val="00A244FA"/>
    <w:rsid w:val="00A245AE"/>
    <w:rsid w:val="00A24A12"/>
    <w:rsid w:val="00A25D39"/>
    <w:rsid w:val="00A33AE8"/>
    <w:rsid w:val="00A33FEF"/>
    <w:rsid w:val="00A36BEB"/>
    <w:rsid w:val="00A37CF6"/>
    <w:rsid w:val="00A37ECC"/>
    <w:rsid w:val="00A404F9"/>
    <w:rsid w:val="00A413F3"/>
    <w:rsid w:val="00A42671"/>
    <w:rsid w:val="00A42F05"/>
    <w:rsid w:val="00A44D63"/>
    <w:rsid w:val="00A459EE"/>
    <w:rsid w:val="00A45F01"/>
    <w:rsid w:val="00A47BBF"/>
    <w:rsid w:val="00A5123C"/>
    <w:rsid w:val="00A52F7E"/>
    <w:rsid w:val="00A536E5"/>
    <w:rsid w:val="00A54472"/>
    <w:rsid w:val="00A56635"/>
    <w:rsid w:val="00A57DA2"/>
    <w:rsid w:val="00A603F5"/>
    <w:rsid w:val="00A62C9B"/>
    <w:rsid w:val="00A6508A"/>
    <w:rsid w:val="00A6586F"/>
    <w:rsid w:val="00A665B7"/>
    <w:rsid w:val="00A66F09"/>
    <w:rsid w:val="00A67259"/>
    <w:rsid w:val="00A7053C"/>
    <w:rsid w:val="00A71605"/>
    <w:rsid w:val="00A71DA2"/>
    <w:rsid w:val="00A72353"/>
    <w:rsid w:val="00A75755"/>
    <w:rsid w:val="00A75F37"/>
    <w:rsid w:val="00A767BC"/>
    <w:rsid w:val="00A76F1C"/>
    <w:rsid w:val="00A80A03"/>
    <w:rsid w:val="00A813BB"/>
    <w:rsid w:val="00A81DAA"/>
    <w:rsid w:val="00A82A0E"/>
    <w:rsid w:val="00A83B9D"/>
    <w:rsid w:val="00A8444E"/>
    <w:rsid w:val="00A84BE4"/>
    <w:rsid w:val="00A85587"/>
    <w:rsid w:val="00A855A6"/>
    <w:rsid w:val="00A85D8F"/>
    <w:rsid w:val="00A87D7C"/>
    <w:rsid w:val="00A90381"/>
    <w:rsid w:val="00A90C3E"/>
    <w:rsid w:val="00A9242C"/>
    <w:rsid w:val="00A92A7E"/>
    <w:rsid w:val="00A95151"/>
    <w:rsid w:val="00A959DC"/>
    <w:rsid w:val="00A95B91"/>
    <w:rsid w:val="00A95C10"/>
    <w:rsid w:val="00A97A1E"/>
    <w:rsid w:val="00AA0918"/>
    <w:rsid w:val="00AA2A61"/>
    <w:rsid w:val="00AA4C1C"/>
    <w:rsid w:val="00AA63B1"/>
    <w:rsid w:val="00AA6C42"/>
    <w:rsid w:val="00AA6E03"/>
    <w:rsid w:val="00AA725A"/>
    <w:rsid w:val="00AA73E3"/>
    <w:rsid w:val="00AA749F"/>
    <w:rsid w:val="00AB0396"/>
    <w:rsid w:val="00AB0E73"/>
    <w:rsid w:val="00AB2CFB"/>
    <w:rsid w:val="00AB2E59"/>
    <w:rsid w:val="00AB2F3C"/>
    <w:rsid w:val="00AB4D94"/>
    <w:rsid w:val="00AB5833"/>
    <w:rsid w:val="00AB5A3E"/>
    <w:rsid w:val="00AB5D13"/>
    <w:rsid w:val="00AB5DB5"/>
    <w:rsid w:val="00AB5DED"/>
    <w:rsid w:val="00AB61E6"/>
    <w:rsid w:val="00AB7C23"/>
    <w:rsid w:val="00AB7E7C"/>
    <w:rsid w:val="00AC132F"/>
    <w:rsid w:val="00AC13B0"/>
    <w:rsid w:val="00AC2647"/>
    <w:rsid w:val="00AC2C9D"/>
    <w:rsid w:val="00AC2F3E"/>
    <w:rsid w:val="00AC3159"/>
    <w:rsid w:val="00AC4BEA"/>
    <w:rsid w:val="00AC589B"/>
    <w:rsid w:val="00AC5978"/>
    <w:rsid w:val="00AC746B"/>
    <w:rsid w:val="00AD1F59"/>
    <w:rsid w:val="00AE0048"/>
    <w:rsid w:val="00AE0F9C"/>
    <w:rsid w:val="00AE1415"/>
    <w:rsid w:val="00AE2A59"/>
    <w:rsid w:val="00AE34BB"/>
    <w:rsid w:val="00AE38B5"/>
    <w:rsid w:val="00AE4173"/>
    <w:rsid w:val="00AE476E"/>
    <w:rsid w:val="00AE5763"/>
    <w:rsid w:val="00AE5C5E"/>
    <w:rsid w:val="00AE6ED7"/>
    <w:rsid w:val="00AE76D4"/>
    <w:rsid w:val="00AF08FC"/>
    <w:rsid w:val="00AF2880"/>
    <w:rsid w:val="00AF4CE2"/>
    <w:rsid w:val="00AF700E"/>
    <w:rsid w:val="00AF7C88"/>
    <w:rsid w:val="00B007AB"/>
    <w:rsid w:val="00B01E52"/>
    <w:rsid w:val="00B0392C"/>
    <w:rsid w:val="00B0538B"/>
    <w:rsid w:val="00B100B2"/>
    <w:rsid w:val="00B12DB7"/>
    <w:rsid w:val="00B139EA"/>
    <w:rsid w:val="00B14B8A"/>
    <w:rsid w:val="00B14CAD"/>
    <w:rsid w:val="00B15579"/>
    <w:rsid w:val="00B15750"/>
    <w:rsid w:val="00B15C26"/>
    <w:rsid w:val="00B16255"/>
    <w:rsid w:val="00B162E3"/>
    <w:rsid w:val="00B164A3"/>
    <w:rsid w:val="00B22A10"/>
    <w:rsid w:val="00B303F2"/>
    <w:rsid w:val="00B304FF"/>
    <w:rsid w:val="00B305A8"/>
    <w:rsid w:val="00B33BA1"/>
    <w:rsid w:val="00B361BC"/>
    <w:rsid w:val="00B363F8"/>
    <w:rsid w:val="00B40154"/>
    <w:rsid w:val="00B4262E"/>
    <w:rsid w:val="00B44EBA"/>
    <w:rsid w:val="00B45FBE"/>
    <w:rsid w:val="00B504D1"/>
    <w:rsid w:val="00B51A5B"/>
    <w:rsid w:val="00B52754"/>
    <w:rsid w:val="00B53CB8"/>
    <w:rsid w:val="00B61526"/>
    <w:rsid w:val="00B6160A"/>
    <w:rsid w:val="00B63186"/>
    <w:rsid w:val="00B636F4"/>
    <w:rsid w:val="00B66384"/>
    <w:rsid w:val="00B6674D"/>
    <w:rsid w:val="00B67C1A"/>
    <w:rsid w:val="00B67D59"/>
    <w:rsid w:val="00B71EDD"/>
    <w:rsid w:val="00B72B4F"/>
    <w:rsid w:val="00B7535E"/>
    <w:rsid w:val="00B758F0"/>
    <w:rsid w:val="00B767A6"/>
    <w:rsid w:val="00B77424"/>
    <w:rsid w:val="00B77A5E"/>
    <w:rsid w:val="00B77BA4"/>
    <w:rsid w:val="00B85135"/>
    <w:rsid w:val="00B85424"/>
    <w:rsid w:val="00B85DE2"/>
    <w:rsid w:val="00B85E60"/>
    <w:rsid w:val="00B86797"/>
    <w:rsid w:val="00B87CD4"/>
    <w:rsid w:val="00B91846"/>
    <w:rsid w:val="00B939B5"/>
    <w:rsid w:val="00B94889"/>
    <w:rsid w:val="00B95C3D"/>
    <w:rsid w:val="00B9654E"/>
    <w:rsid w:val="00B96E1B"/>
    <w:rsid w:val="00BA22A4"/>
    <w:rsid w:val="00BA2783"/>
    <w:rsid w:val="00BA685C"/>
    <w:rsid w:val="00BA6D97"/>
    <w:rsid w:val="00BA7407"/>
    <w:rsid w:val="00BB118C"/>
    <w:rsid w:val="00BB3199"/>
    <w:rsid w:val="00BB3C50"/>
    <w:rsid w:val="00BB60B6"/>
    <w:rsid w:val="00BB6A92"/>
    <w:rsid w:val="00BC0231"/>
    <w:rsid w:val="00BC1EB3"/>
    <w:rsid w:val="00BC2549"/>
    <w:rsid w:val="00BC27A5"/>
    <w:rsid w:val="00BC3273"/>
    <w:rsid w:val="00BC3367"/>
    <w:rsid w:val="00BC41D3"/>
    <w:rsid w:val="00BC4566"/>
    <w:rsid w:val="00BC5511"/>
    <w:rsid w:val="00BC5A46"/>
    <w:rsid w:val="00BC5AB3"/>
    <w:rsid w:val="00BC64C3"/>
    <w:rsid w:val="00BC6D20"/>
    <w:rsid w:val="00BC6DD9"/>
    <w:rsid w:val="00BD059B"/>
    <w:rsid w:val="00BD1C96"/>
    <w:rsid w:val="00BD21FE"/>
    <w:rsid w:val="00BD3134"/>
    <w:rsid w:val="00BD4E03"/>
    <w:rsid w:val="00BD6A16"/>
    <w:rsid w:val="00BE12B5"/>
    <w:rsid w:val="00BE1A6C"/>
    <w:rsid w:val="00BE3014"/>
    <w:rsid w:val="00BE47C4"/>
    <w:rsid w:val="00BE4AAE"/>
    <w:rsid w:val="00BE5DAA"/>
    <w:rsid w:val="00BE7339"/>
    <w:rsid w:val="00BE7E0B"/>
    <w:rsid w:val="00BF0DC9"/>
    <w:rsid w:val="00BF16F3"/>
    <w:rsid w:val="00BF1AAD"/>
    <w:rsid w:val="00BF3CEC"/>
    <w:rsid w:val="00BF61F3"/>
    <w:rsid w:val="00C00874"/>
    <w:rsid w:val="00C00B3F"/>
    <w:rsid w:val="00C0101A"/>
    <w:rsid w:val="00C0371A"/>
    <w:rsid w:val="00C044AD"/>
    <w:rsid w:val="00C0582D"/>
    <w:rsid w:val="00C05AB0"/>
    <w:rsid w:val="00C1135D"/>
    <w:rsid w:val="00C12C67"/>
    <w:rsid w:val="00C14533"/>
    <w:rsid w:val="00C1621B"/>
    <w:rsid w:val="00C16DE1"/>
    <w:rsid w:val="00C16F3A"/>
    <w:rsid w:val="00C20088"/>
    <w:rsid w:val="00C21ABB"/>
    <w:rsid w:val="00C21C87"/>
    <w:rsid w:val="00C228AF"/>
    <w:rsid w:val="00C22C79"/>
    <w:rsid w:val="00C236F2"/>
    <w:rsid w:val="00C258BB"/>
    <w:rsid w:val="00C25FC3"/>
    <w:rsid w:val="00C2741D"/>
    <w:rsid w:val="00C27E8C"/>
    <w:rsid w:val="00C300E2"/>
    <w:rsid w:val="00C30965"/>
    <w:rsid w:val="00C321E6"/>
    <w:rsid w:val="00C361B2"/>
    <w:rsid w:val="00C41316"/>
    <w:rsid w:val="00C41562"/>
    <w:rsid w:val="00C418AA"/>
    <w:rsid w:val="00C4255D"/>
    <w:rsid w:val="00C42571"/>
    <w:rsid w:val="00C425C4"/>
    <w:rsid w:val="00C4454F"/>
    <w:rsid w:val="00C4479F"/>
    <w:rsid w:val="00C4565E"/>
    <w:rsid w:val="00C46512"/>
    <w:rsid w:val="00C52F8A"/>
    <w:rsid w:val="00C5335A"/>
    <w:rsid w:val="00C55DB5"/>
    <w:rsid w:val="00C6090E"/>
    <w:rsid w:val="00C61292"/>
    <w:rsid w:val="00C63039"/>
    <w:rsid w:val="00C642D1"/>
    <w:rsid w:val="00C655D3"/>
    <w:rsid w:val="00C66F58"/>
    <w:rsid w:val="00C7076D"/>
    <w:rsid w:val="00C71499"/>
    <w:rsid w:val="00C71549"/>
    <w:rsid w:val="00C72A86"/>
    <w:rsid w:val="00C73C42"/>
    <w:rsid w:val="00C73F1E"/>
    <w:rsid w:val="00C74B73"/>
    <w:rsid w:val="00C7513A"/>
    <w:rsid w:val="00C7578E"/>
    <w:rsid w:val="00C7660E"/>
    <w:rsid w:val="00C817F7"/>
    <w:rsid w:val="00C84EB9"/>
    <w:rsid w:val="00C86C87"/>
    <w:rsid w:val="00C87CAA"/>
    <w:rsid w:val="00C90C93"/>
    <w:rsid w:val="00C930FC"/>
    <w:rsid w:val="00C939DD"/>
    <w:rsid w:val="00C93B7B"/>
    <w:rsid w:val="00C96C94"/>
    <w:rsid w:val="00C97065"/>
    <w:rsid w:val="00C975BB"/>
    <w:rsid w:val="00CA17C5"/>
    <w:rsid w:val="00CA2FA9"/>
    <w:rsid w:val="00CA5036"/>
    <w:rsid w:val="00CA51B9"/>
    <w:rsid w:val="00CA5871"/>
    <w:rsid w:val="00CA67FF"/>
    <w:rsid w:val="00CB19E5"/>
    <w:rsid w:val="00CB3957"/>
    <w:rsid w:val="00CB48BF"/>
    <w:rsid w:val="00CB4988"/>
    <w:rsid w:val="00CB4CAB"/>
    <w:rsid w:val="00CC0ACD"/>
    <w:rsid w:val="00CC21AA"/>
    <w:rsid w:val="00CC4248"/>
    <w:rsid w:val="00CC6580"/>
    <w:rsid w:val="00CC7054"/>
    <w:rsid w:val="00CC7D03"/>
    <w:rsid w:val="00CC7F36"/>
    <w:rsid w:val="00CD1781"/>
    <w:rsid w:val="00CD2EA3"/>
    <w:rsid w:val="00CD3045"/>
    <w:rsid w:val="00CD30DA"/>
    <w:rsid w:val="00CD6D34"/>
    <w:rsid w:val="00CD72AC"/>
    <w:rsid w:val="00CD7F0B"/>
    <w:rsid w:val="00CE1628"/>
    <w:rsid w:val="00CE21E9"/>
    <w:rsid w:val="00CE35AC"/>
    <w:rsid w:val="00CE542C"/>
    <w:rsid w:val="00CE57E2"/>
    <w:rsid w:val="00CE615B"/>
    <w:rsid w:val="00CE6E1A"/>
    <w:rsid w:val="00CE7AA6"/>
    <w:rsid w:val="00CF0FA3"/>
    <w:rsid w:val="00CF2193"/>
    <w:rsid w:val="00CF2B57"/>
    <w:rsid w:val="00CF3535"/>
    <w:rsid w:val="00CF3F44"/>
    <w:rsid w:val="00CF573F"/>
    <w:rsid w:val="00CF6C0C"/>
    <w:rsid w:val="00CF6E19"/>
    <w:rsid w:val="00CF73A2"/>
    <w:rsid w:val="00CF7E70"/>
    <w:rsid w:val="00D009A4"/>
    <w:rsid w:val="00D02D12"/>
    <w:rsid w:val="00D057AA"/>
    <w:rsid w:val="00D05FC7"/>
    <w:rsid w:val="00D06549"/>
    <w:rsid w:val="00D11699"/>
    <w:rsid w:val="00D12337"/>
    <w:rsid w:val="00D131D0"/>
    <w:rsid w:val="00D1320C"/>
    <w:rsid w:val="00D132EE"/>
    <w:rsid w:val="00D13938"/>
    <w:rsid w:val="00D1436C"/>
    <w:rsid w:val="00D165B7"/>
    <w:rsid w:val="00D21602"/>
    <w:rsid w:val="00D21898"/>
    <w:rsid w:val="00D21DBB"/>
    <w:rsid w:val="00D21E7D"/>
    <w:rsid w:val="00D25214"/>
    <w:rsid w:val="00D257F6"/>
    <w:rsid w:val="00D26A77"/>
    <w:rsid w:val="00D26FF7"/>
    <w:rsid w:val="00D30031"/>
    <w:rsid w:val="00D3271C"/>
    <w:rsid w:val="00D32AAD"/>
    <w:rsid w:val="00D32DE9"/>
    <w:rsid w:val="00D35C30"/>
    <w:rsid w:val="00D37202"/>
    <w:rsid w:val="00D44FC7"/>
    <w:rsid w:val="00D453D7"/>
    <w:rsid w:val="00D50155"/>
    <w:rsid w:val="00D54281"/>
    <w:rsid w:val="00D55177"/>
    <w:rsid w:val="00D551FC"/>
    <w:rsid w:val="00D55731"/>
    <w:rsid w:val="00D5744D"/>
    <w:rsid w:val="00D57EFC"/>
    <w:rsid w:val="00D60939"/>
    <w:rsid w:val="00D61A37"/>
    <w:rsid w:val="00D66939"/>
    <w:rsid w:val="00D674F0"/>
    <w:rsid w:val="00D71A57"/>
    <w:rsid w:val="00D736A1"/>
    <w:rsid w:val="00D7372D"/>
    <w:rsid w:val="00D756A8"/>
    <w:rsid w:val="00D763AE"/>
    <w:rsid w:val="00D76436"/>
    <w:rsid w:val="00D772CB"/>
    <w:rsid w:val="00D818D6"/>
    <w:rsid w:val="00D83381"/>
    <w:rsid w:val="00D8455D"/>
    <w:rsid w:val="00D84E8D"/>
    <w:rsid w:val="00D85F84"/>
    <w:rsid w:val="00D87505"/>
    <w:rsid w:val="00D91A2B"/>
    <w:rsid w:val="00D928E8"/>
    <w:rsid w:val="00D9557C"/>
    <w:rsid w:val="00D9614A"/>
    <w:rsid w:val="00D96FD2"/>
    <w:rsid w:val="00DA1AC8"/>
    <w:rsid w:val="00DA1D0E"/>
    <w:rsid w:val="00DA2CFB"/>
    <w:rsid w:val="00DA3300"/>
    <w:rsid w:val="00DA3834"/>
    <w:rsid w:val="00DA51AB"/>
    <w:rsid w:val="00DA52E1"/>
    <w:rsid w:val="00DA58D5"/>
    <w:rsid w:val="00DA6421"/>
    <w:rsid w:val="00DA66BB"/>
    <w:rsid w:val="00DB05BA"/>
    <w:rsid w:val="00DB0B05"/>
    <w:rsid w:val="00DB13FF"/>
    <w:rsid w:val="00DB143F"/>
    <w:rsid w:val="00DB1B57"/>
    <w:rsid w:val="00DB2ACC"/>
    <w:rsid w:val="00DB4122"/>
    <w:rsid w:val="00DB6EC1"/>
    <w:rsid w:val="00DC00DD"/>
    <w:rsid w:val="00DC0518"/>
    <w:rsid w:val="00DC12B5"/>
    <w:rsid w:val="00DC18C8"/>
    <w:rsid w:val="00DC270A"/>
    <w:rsid w:val="00DC4614"/>
    <w:rsid w:val="00DC4737"/>
    <w:rsid w:val="00DC6E69"/>
    <w:rsid w:val="00DD0D1D"/>
    <w:rsid w:val="00DD1DC3"/>
    <w:rsid w:val="00DD21C3"/>
    <w:rsid w:val="00DD2A1D"/>
    <w:rsid w:val="00DD326C"/>
    <w:rsid w:val="00DD4397"/>
    <w:rsid w:val="00DD490D"/>
    <w:rsid w:val="00DD60C6"/>
    <w:rsid w:val="00DE0C09"/>
    <w:rsid w:val="00DE5955"/>
    <w:rsid w:val="00DE5D5C"/>
    <w:rsid w:val="00DE64D7"/>
    <w:rsid w:val="00DE73D2"/>
    <w:rsid w:val="00DF11C1"/>
    <w:rsid w:val="00DF6538"/>
    <w:rsid w:val="00E000D7"/>
    <w:rsid w:val="00E01120"/>
    <w:rsid w:val="00E014D7"/>
    <w:rsid w:val="00E02344"/>
    <w:rsid w:val="00E035F7"/>
    <w:rsid w:val="00E043A3"/>
    <w:rsid w:val="00E05164"/>
    <w:rsid w:val="00E0638D"/>
    <w:rsid w:val="00E06BDA"/>
    <w:rsid w:val="00E06C01"/>
    <w:rsid w:val="00E11305"/>
    <w:rsid w:val="00E126F3"/>
    <w:rsid w:val="00E13070"/>
    <w:rsid w:val="00E14055"/>
    <w:rsid w:val="00E1675A"/>
    <w:rsid w:val="00E1696A"/>
    <w:rsid w:val="00E171BC"/>
    <w:rsid w:val="00E203E7"/>
    <w:rsid w:val="00E218F7"/>
    <w:rsid w:val="00E23C37"/>
    <w:rsid w:val="00E27CE4"/>
    <w:rsid w:val="00E30CE8"/>
    <w:rsid w:val="00E3467B"/>
    <w:rsid w:val="00E34B68"/>
    <w:rsid w:val="00E34EA1"/>
    <w:rsid w:val="00E3509E"/>
    <w:rsid w:val="00E35C95"/>
    <w:rsid w:val="00E35E6D"/>
    <w:rsid w:val="00E37354"/>
    <w:rsid w:val="00E37BFA"/>
    <w:rsid w:val="00E40B59"/>
    <w:rsid w:val="00E412F6"/>
    <w:rsid w:val="00E41EF2"/>
    <w:rsid w:val="00E44B09"/>
    <w:rsid w:val="00E45B85"/>
    <w:rsid w:val="00E469A3"/>
    <w:rsid w:val="00E47CFE"/>
    <w:rsid w:val="00E50637"/>
    <w:rsid w:val="00E51EBD"/>
    <w:rsid w:val="00E52B46"/>
    <w:rsid w:val="00E52D71"/>
    <w:rsid w:val="00E52EE0"/>
    <w:rsid w:val="00E534B3"/>
    <w:rsid w:val="00E54C2F"/>
    <w:rsid w:val="00E553E9"/>
    <w:rsid w:val="00E56DE3"/>
    <w:rsid w:val="00E5798C"/>
    <w:rsid w:val="00E57AF8"/>
    <w:rsid w:val="00E57C5D"/>
    <w:rsid w:val="00E6079B"/>
    <w:rsid w:val="00E61D09"/>
    <w:rsid w:val="00E6212F"/>
    <w:rsid w:val="00E63A6F"/>
    <w:rsid w:val="00E654F1"/>
    <w:rsid w:val="00E6573F"/>
    <w:rsid w:val="00E65C0E"/>
    <w:rsid w:val="00E67023"/>
    <w:rsid w:val="00E6729D"/>
    <w:rsid w:val="00E67BD6"/>
    <w:rsid w:val="00E704C4"/>
    <w:rsid w:val="00E72926"/>
    <w:rsid w:val="00E74FB3"/>
    <w:rsid w:val="00E75EA5"/>
    <w:rsid w:val="00E808A7"/>
    <w:rsid w:val="00E811ED"/>
    <w:rsid w:val="00E82494"/>
    <w:rsid w:val="00E875F9"/>
    <w:rsid w:val="00E91330"/>
    <w:rsid w:val="00E914AF"/>
    <w:rsid w:val="00E9274F"/>
    <w:rsid w:val="00E9377E"/>
    <w:rsid w:val="00EA1015"/>
    <w:rsid w:val="00EA1D68"/>
    <w:rsid w:val="00EA405C"/>
    <w:rsid w:val="00EA45F5"/>
    <w:rsid w:val="00EA4BE6"/>
    <w:rsid w:val="00EA6194"/>
    <w:rsid w:val="00EB0D34"/>
    <w:rsid w:val="00EB1054"/>
    <w:rsid w:val="00EB370C"/>
    <w:rsid w:val="00EB5EB0"/>
    <w:rsid w:val="00EB728C"/>
    <w:rsid w:val="00EC0F37"/>
    <w:rsid w:val="00EC3E87"/>
    <w:rsid w:val="00EC4931"/>
    <w:rsid w:val="00EC5DD2"/>
    <w:rsid w:val="00ED0B9A"/>
    <w:rsid w:val="00ED20D7"/>
    <w:rsid w:val="00ED2BF1"/>
    <w:rsid w:val="00ED2C13"/>
    <w:rsid w:val="00ED30F9"/>
    <w:rsid w:val="00ED3269"/>
    <w:rsid w:val="00ED44A0"/>
    <w:rsid w:val="00ED5AB0"/>
    <w:rsid w:val="00ED6769"/>
    <w:rsid w:val="00ED6DF8"/>
    <w:rsid w:val="00EE00CA"/>
    <w:rsid w:val="00EE09B6"/>
    <w:rsid w:val="00EE1C85"/>
    <w:rsid w:val="00EE4377"/>
    <w:rsid w:val="00EE4D51"/>
    <w:rsid w:val="00EF098F"/>
    <w:rsid w:val="00EF119B"/>
    <w:rsid w:val="00EF1A3E"/>
    <w:rsid w:val="00EF51A5"/>
    <w:rsid w:val="00EF54C6"/>
    <w:rsid w:val="00EF555C"/>
    <w:rsid w:val="00EF6C43"/>
    <w:rsid w:val="00EF7D67"/>
    <w:rsid w:val="00F00D73"/>
    <w:rsid w:val="00F01B3C"/>
    <w:rsid w:val="00F053C7"/>
    <w:rsid w:val="00F06952"/>
    <w:rsid w:val="00F0770F"/>
    <w:rsid w:val="00F10B3C"/>
    <w:rsid w:val="00F148E0"/>
    <w:rsid w:val="00F1493B"/>
    <w:rsid w:val="00F166E7"/>
    <w:rsid w:val="00F16902"/>
    <w:rsid w:val="00F1760B"/>
    <w:rsid w:val="00F17614"/>
    <w:rsid w:val="00F17EEF"/>
    <w:rsid w:val="00F20B80"/>
    <w:rsid w:val="00F21A73"/>
    <w:rsid w:val="00F24E18"/>
    <w:rsid w:val="00F26210"/>
    <w:rsid w:val="00F27D6F"/>
    <w:rsid w:val="00F31072"/>
    <w:rsid w:val="00F31D12"/>
    <w:rsid w:val="00F32B05"/>
    <w:rsid w:val="00F335A0"/>
    <w:rsid w:val="00F33A16"/>
    <w:rsid w:val="00F36071"/>
    <w:rsid w:val="00F36585"/>
    <w:rsid w:val="00F4115D"/>
    <w:rsid w:val="00F41CC9"/>
    <w:rsid w:val="00F42CE8"/>
    <w:rsid w:val="00F50407"/>
    <w:rsid w:val="00F51443"/>
    <w:rsid w:val="00F525A5"/>
    <w:rsid w:val="00F52ABB"/>
    <w:rsid w:val="00F52E62"/>
    <w:rsid w:val="00F5465C"/>
    <w:rsid w:val="00F54D29"/>
    <w:rsid w:val="00F55CD0"/>
    <w:rsid w:val="00F570BB"/>
    <w:rsid w:val="00F6050F"/>
    <w:rsid w:val="00F61DDE"/>
    <w:rsid w:val="00F62ADB"/>
    <w:rsid w:val="00F630A4"/>
    <w:rsid w:val="00F634D3"/>
    <w:rsid w:val="00F638D3"/>
    <w:rsid w:val="00F640A7"/>
    <w:rsid w:val="00F65152"/>
    <w:rsid w:val="00F65B26"/>
    <w:rsid w:val="00F71460"/>
    <w:rsid w:val="00F7211E"/>
    <w:rsid w:val="00F722B2"/>
    <w:rsid w:val="00F72742"/>
    <w:rsid w:val="00F72D71"/>
    <w:rsid w:val="00F733D0"/>
    <w:rsid w:val="00F736D9"/>
    <w:rsid w:val="00F741DD"/>
    <w:rsid w:val="00F7452C"/>
    <w:rsid w:val="00F74CE0"/>
    <w:rsid w:val="00F75219"/>
    <w:rsid w:val="00F76265"/>
    <w:rsid w:val="00F764C9"/>
    <w:rsid w:val="00F76B5E"/>
    <w:rsid w:val="00F7772C"/>
    <w:rsid w:val="00F77A76"/>
    <w:rsid w:val="00F80D04"/>
    <w:rsid w:val="00F810E3"/>
    <w:rsid w:val="00F815A1"/>
    <w:rsid w:val="00F81D89"/>
    <w:rsid w:val="00F81EBE"/>
    <w:rsid w:val="00F81F84"/>
    <w:rsid w:val="00F820CF"/>
    <w:rsid w:val="00F838DF"/>
    <w:rsid w:val="00F83AFF"/>
    <w:rsid w:val="00F86C75"/>
    <w:rsid w:val="00F9006B"/>
    <w:rsid w:val="00F9075E"/>
    <w:rsid w:val="00F92CC5"/>
    <w:rsid w:val="00F93DE7"/>
    <w:rsid w:val="00F93E4D"/>
    <w:rsid w:val="00F945D0"/>
    <w:rsid w:val="00F955F7"/>
    <w:rsid w:val="00F965E5"/>
    <w:rsid w:val="00F966B4"/>
    <w:rsid w:val="00F969E5"/>
    <w:rsid w:val="00F96AD8"/>
    <w:rsid w:val="00FA35C7"/>
    <w:rsid w:val="00FA523F"/>
    <w:rsid w:val="00FA544F"/>
    <w:rsid w:val="00FA552A"/>
    <w:rsid w:val="00FA5548"/>
    <w:rsid w:val="00FA5F5B"/>
    <w:rsid w:val="00FA76F1"/>
    <w:rsid w:val="00FB03A3"/>
    <w:rsid w:val="00FB094C"/>
    <w:rsid w:val="00FB4A0B"/>
    <w:rsid w:val="00FB5BEC"/>
    <w:rsid w:val="00FB6400"/>
    <w:rsid w:val="00FB6F1C"/>
    <w:rsid w:val="00FC01EF"/>
    <w:rsid w:val="00FC0A4F"/>
    <w:rsid w:val="00FC2291"/>
    <w:rsid w:val="00FC3111"/>
    <w:rsid w:val="00FC34A1"/>
    <w:rsid w:val="00FC400C"/>
    <w:rsid w:val="00FC41BB"/>
    <w:rsid w:val="00FC4668"/>
    <w:rsid w:val="00FC6774"/>
    <w:rsid w:val="00FC7DD7"/>
    <w:rsid w:val="00FD0DB3"/>
    <w:rsid w:val="00FD33DB"/>
    <w:rsid w:val="00FD3796"/>
    <w:rsid w:val="00FD3AA9"/>
    <w:rsid w:val="00FD4BF5"/>
    <w:rsid w:val="00FD4E27"/>
    <w:rsid w:val="00FD5199"/>
    <w:rsid w:val="00FD68B1"/>
    <w:rsid w:val="00FD79C2"/>
    <w:rsid w:val="00FE18B9"/>
    <w:rsid w:val="00FE2248"/>
    <w:rsid w:val="00FE3FAB"/>
    <w:rsid w:val="00FE5276"/>
    <w:rsid w:val="00FF20DB"/>
    <w:rsid w:val="00FF311F"/>
    <w:rsid w:val="00FF51EB"/>
    <w:rsid w:val="00FF6B88"/>
    <w:rsid w:val="0C6B427F"/>
    <w:rsid w:val="0F7D5E1F"/>
    <w:rsid w:val="1544003A"/>
    <w:rsid w:val="2AF45B5F"/>
    <w:rsid w:val="2B993758"/>
    <w:rsid w:val="2D5802A1"/>
    <w:rsid w:val="2FBCAAAC"/>
    <w:rsid w:val="3830326E"/>
    <w:rsid w:val="3AEC4C33"/>
    <w:rsid w:val="3F23502B"/>
    <w:rsid w:val="481A105A"/>
    <w:rsid w:val="5A403D90"/>
    <w:rsid w:val="5B4D3AF7"/>
    <w:rsid w:val="5FFE90BA"/>
    <w:rsid w:val="6965D6A3"/>
    <w:rsid w:val="7B8A5E4B"/>
    <w:rsid w:val="BB7F1817"/>
    <w:rsid w:val="E7FDAF86"/>
    <w:rsid w:val="EFFE0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6"/>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5"/>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5"/>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6">
    <w:name w:val="Body Text"/>
    <w:basedOn w:val="1"/>
    <w:link w:val="32"/>
    <w:qFormat/>
    <w:uiPriority w:val="0"/>
    <w:pPr>
      <w:spacing w:after="120"/>
    </w:pPr>
  </w:style>
  <w:style w:type="paragraph" w:styleId="7">
    <w:name w:val="Body Text Indent"/>
    <w:basedOn w:val="1"/>
    <w:link w:val="36"/>
    <w:qFormat/>
    <w:uiPriority w:val="0"/>
    <w:pPr>
      <w:spacing w:after="120"/>
      <w:ind w:left="420" w:leftChars="200"/>
    </w:pPr>
  </w:style>
  <w:style w:type="paragraph" w:styleId="8">
    <w:name w:val="Plain Text"/>
    <w:basedOn w:val="1"/>
    <w:link w:val="31"/>
    <w:autoRedefine/>
    <w:qFormat/>
    <w:uiPriority w:val="0"/>
    <w:rPr>
      <w:rFonts w:ascii="宋体" w:hAnsi="Courier New"/>
      <w:kern w:val="0"/>
    </w:rPr>
  </w:style>
  <w:style w:type="paragraph" w:styleId="9">
    <w:name w:val="Balloon Text"/>
    <w:basedOn w:val="1"/>
    <w:link w:val="22"/>
    <w:autoRedefine/>
    <w:qFormat/>
    <w:uiPriority w:val="0"/>
    <w:rPr>
      <w:sz w:val="18"/>
      <w:szCs w:val="18"/>
    </w:rPr>
  </w:style>
  <w:style w:type="paragraph" w:styleId="10">
    <w:name w:val="footer"/>
    <w:basedOn w:val="1"/>
    <w:link w:val="39"/>
    <w:autoRedefine/>
    <w:unhideWhenUsed/>
    <w:qFormat/>
    <w:uiPriority w:val="99"/>
    <w:pPr>
      <w:tabs>
        <w:tab w:val="center" w:pos="4153"/>
        <w:tab w:val="right" w:pos="8306"/>
      </w:tabs>
    </w:pPr>
    <w:rPr>
      <w:sz w:val="18"/>
      <w:szCs w:val="18"/>
    </w:rPr>
  </w:style>
  <w:style w:type="paragraph" w:styleId="11">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link w:val="33"/>
    <w:qFormat/>
    <w:uiPriority w:val="0"/>
    <w:pPr>
      <w:widowControl w:val="0"/>
      <w:ind w:firstLine="420" w:firstLineChars="100"/>
      <w:jc w:val="both"/>
    </w:pPr>
    <w:rPr>
      <w:rFonts w:ascii="仿宋_GB2312" w:hAnsi="宋体" w:eastAsia="仿宋_GB2312" w:cs="Times New Roman"/>
      <w:b/>
      <w:kern w:val="2"/>
      <w:sz w:val="32"/>
      <w:szCs w:val="24"/>
      <w:lang w:val="en-US" w:eastAsia="zh-CN" w:bidi="ar-SA"/>
    </w:rPr>
  </w:style>
  <w:style w:type="paragraph" w:styleId="15">
    <w:name w:val="Body Text First Indent 2"/>
    <w:basedOn w:val="7"/>
    <w:link w:val="37"/>
    <w:autoRedefine/>
    <w:qFormat/>
    <w:uiPriority w:val="0"/>
    <w:pPr>
      <w:ind w:firstLine="420" w:firstLineChars="20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Emphasis"/>
    <w:basedOn w:val="18"/>
    <w:qFormat/>
    <w:uiPriority w:val="20"/>
    <w:rPr>
      <w:i/>
      <w:iCs/>
    </w:rPr>
  </w:style>
  <w:style w:type="character" w:styleId="21">
    <w:name w:val="Hyperlink"/>
    <w:basedOn w:val="18"/>
    <w:unhideWhenUsed/>
    <w:qFormat/>
    <w:uiPriority w:val="99"/>
    <w:rPr>
      <w:color w:val="0000FF"/>
      <w:u w:val="single"/>
    </w:rPr>
  </w:style>
  <w:style w:type="character" w:customStyle="1" w:styleId="22">
    <w:name w:val="批注框文本 字符"/>
    <w:link w:val="9"/>
    <w:autoRedefine/>
    <w:qFormat/>
    <w:uiPriority w:val="0"/>
    <w:rPr>
      <w:rFonts w:ascii="Calibri" w:hAnsi="Calibri"/>
      <w:kern w:val="2"/>
      <w:sz w:val="18"/>
      <w:szCs w:val="18"/>
    </w:rPr>
  </w:style>
  <w:style w:type="character" w:customStyle="1" w:styleId="23">
    <w:name w:val="页眉 字符"/>
    <w:link w:val="11"/>
    <w:qFormat/>
    <w:uiPriority w:val="99"/>
    <w:rPr>
      <w:rFonts w:ascii="Calibri" w:hAnsi="Calibri"/>
      <w:kern w:val="2"/>
      <w:sz w:val="18"/>
      <w:szCs w:val="18"/>
    </w:rPr>
  </w:style>
  <w:style w:type="character" w:customStyle="1" w:styleId="24">
    <w:name w:val="doc-header-title"/>
    <w:basedOn w:val="18"/>
    <w:autoRedefine/>
    <w:qFormat/>
    <w:uiPriority w:val="0"/>
  </w:style>
  <w:style w:type="character" w:customStyle="1" w:styleId="25">
    <w:name w:val="标题 2 字符"/>
    <w:basedOn w:val="18"/>
    <w:link w:val="4"/>
    <w:semiHidden/>
    <w:qFormat/>
    <w:uiPriority w:val="0"/>
    <w:rPr>
      <w:rFonts w:ascii="Cambria" w:hAnsi="Cambria" w:eastAsia="宋体" w:cs="Times New Roman"/>
      <w:b/>
      <w:bCs/>
      <w:kern w:val="2"/>
      <w:sz w:val="32"/>
      <w:szCs w:val="32"/>
    </w:rPr>
  </w:style>
  <w:style w:type="character" w:customStyle="1" w:styleId="26">
    <w:name w:val="标题 1 字符"/>
    <w:basedOn w:val="18"/>
    <w:link w:val="3"/>
    <w:autoRedefine/>
    <w:qFormat/>
    <w:uiPriority w:val="9"/>
    <w:rPr>
      <w:rFonts w:ascii="宋体" w:hAnsi="宋体" w:cs="宋体"/>
      <w:b/>
      <w:bCs/>
      <w:kern w:val="36"/>
      <w:sz w:val="48"/>
      <w:szCs w:val="48"/>
    </w:rPr>
  </w:style>
  <w:style w:type="table" w:customStyle="1" w:styleId="27">
    <w:name w:val="网格表 3 - 着色 51"/>
    <w:basedOn w:val="16"/>
    <w:qFormat/>
    <w:uiPriority w:val="48"/>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DAEEF3"/>
      </w:tcPr>
    </w:tblStylePr>
    <w:tblStylePr w:type="band1Horz">
      <w:tcPr>
        <w:shd w:val="clear" w:color="auto" w:fill="DAEEF3"/>
      </w:tcPr>
    </w:tblStylePr>
    <w:tblStylePr w:type="neCell">
      <w:tcPr>
        <w:tcBorders>
          <w:top w:val="nil"/>
          <w:left w:val="single" w:color="92CDDC" w:sz="4" w:space="0"/>
          <w:bottom w:val="nil"/>
          <w:right w:val="nil"/>
          <w:insideH w:val="nil"/>
          <w:insideV w:val="nil"/>
          <w:tl2br w:val="nil"/>
          <w:tr2bl w:val="nil"/>
        </w:tcBorders>
      </w:tcPr>
    </w:tblStylePr>
    <w:tblStylePr w:type="nwCell">
      <w:tcPr>
        <w:tcBorders>
          <w:top w:val="nil"/>
          <w:left w:val="single" w:color="92CDDC" w:sz="4" w:space="0"/>
          <w:bottom w:val="nil"/>
          <w:right w:val="nil"/>
          <w:insideH w:val="nil"/>
          <w:insideV w:val="nil"/>
          <w:tl2br w:val="nil"/>
          <w:tr2bl w:val="nil"/>
        </w:tcBorders>
      </w:tcPr>
    </w:tblStylePr>
    <w:tblStylePr w:type="seCell">
      <w:tcPr>
        <w:tcBorders>
          <w:top w:val="single" w:color="92CDDC" w:sz="4" w:space="0"/>
          <w:left w:val="nil"/>
          <w:bottom w:val="nil"/>
          <w:right w:val="nil"/>
          <w:insideH w:val="nil"/>
          <w:insideV w:val="nil"/>
          <w:tl2br w:val="nil"/>
          <w:tr2bl w:val="nil"/>
        </w:tcBorders>
      </w:tcPr>
    </w:tblStylePr>
    <w:tblStylePr w:type="swCell">
      <w:tcPr>
        <w:tcBorders>
          <w:top w:val="single" w:color="92CDDC" w:sz="4" w:space="0"/>
          <w:left w:val="nil"/>
          <w:bottom w:val="nil"/>
          <w:right w:val="nil"/>
          <w:insideH w:val="nil"/>
          <w:insideV w:val="nil"/>
          <w:tl2br w:val="nil"/>
          <w:tr2bl w:val="nil"/>
        </w:tcBorders>
      </w:tcPr>
    </w:tblStylePr>
  </w:style>
  <w:style w:type="paragraph" w:styleId="28">
    <w:name w:val="List Paragraph"/>
    <w:basedOn w:val="1"/>
    <w:qFormat/>
    <w:uiPriority w:val="99"/>
    <w:pPr>
      <w:ind w:firstLine="420" w:firstLineChars="200"/>
    </w:pPr>
  </w:style>
  <w:style w:type="paragraph" w:customStyle="1" w:styleId="2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NormalCharacter"/>
    <w:semiHidden/>
    <w:qFormat/>
    <w:uiPriority w:val="0"/>
  </w:style>
  <w:style w:type="character" w:customStyle="1" w:styleId="31">
    <w:name w:val="纯文本 字符"/>
    <w:basedOn w:val="18"/>
    <w:link w:val="8"/>
    <w:qFormat/>
    <w:uiPriority w:val="99"/>
    <w:rPr>
      <w:rFonts w:ascii="宋体" w:hAnsi="Courier New"/>
      <w:sz w:val="21"/>
      <w:szCs w:val="24"/>
    </w:rPr>
  </w:style>
  <w:style w:type="character" w:customStyle="1" w:styleId="32">
    <w:name w:val="正文文本 字符"/>
    <w:basedOn w:val="18"/>
    <w:link w:val="6"/>
    <w:qFormat/>
    <w:uiPriority w:val="0"/>
    <w:rPr>
      <w:rFonts w:ascii="Calibri" w:hAnsi="Calibri"/>
      <w:kern w:val="2"/>
      <w:sz w:val="21"/>
      <w:szCs w:val="24"/>
    </w:rPr>
  </w:style>
  <w:style w:type="character" w:customStyle="1" w:styleId="33">
    <w:name w:val="正文文本首行缩进 字符"/>
    <w:basedOn w:val="32"/>
    <w:link w:val="14"/>
    <w:qFormat/>
    <w:uiPriority w:val="0"/>
    <w:rPr>
      <w:rFonts w:ascii="仿宋_GB2312" w:hAnsi="宋体" w:eastAsia="仿宋_GB2312"/>
      <w:b/>
      <w:kern w:val="2"/>
      <w:sz w:val="32"/>
      <w:szCs w:val="24"/>
    </w:rPr>
  </w:style>
  <w:style w:type="paragraph" w:customStyle="1" w:styleId="34">
    <w:name w:val="页眉1"/>
    <w:qFormat/>
    <w:uiPriority w:val="0"/>
    <w:pPr>
      <w:widowControl w:val="0"/>
      <w:jc w:val="center"/>
    </w:pPr>
    <w:rPr>
      <w:rFonts w:ascii="Trebuchet MS" w:hAnsi="Trebuchet MS" w:eastAsia="ヒラギノ角ゴ Pro W3" w:cs="Times New Roman"/>
      <w:color w:val="000000"/>
      <w:kern w:val="2"/>
      <w:sz w:val="18"/>
      <w:szCs w:val="22"/>
      <w:lang w:val="en-US" w:eastAsia="zh-CN" w:bidi="ar-SA"/>
    </w:rPr>
  </w:style>
  <w:style w:type="character" w:customStyle="1" w:styleId="35">
    <w:name w:val="标题 3 字符"/>
    <w:basedOn w:val="18"/>
    <w:link w:val="5"/>
    <w:autoRedefine/>
    <w:semiHidden/>
    <w:qFormat/>
    <w:uiPriority w:val="0"/>
    <w:rPr>
      <w:rFonts w:ascii="Calibri" w:hAnsi="Calibri"/>
      <w:b/>
      <w:bCs/>
      <w:kern w:val="2"/>
      <w:sz w:val="32"/>
      <w:szCs w:val="32"/>
    </w:rPr>
  </w:style>
  <w:style w:type="character" w:customStyle="1" w:styleId="36">
    <w:name w:val="正文文本缩进 字符"/>
    <w:basedOn w:val="18"/>
    <w:link w:val="7"/>
    <w:autoRedefine/>
    <w:qFormat/>
    <w:uiPriority w:val="0"/>
    <w:rPr>
      <w:rFonts w:ascii="Calibri" w:hAnsi="Calibri"/>
      <w:kern w:val="2"/>
      <w:sz w:val="21"/>
      <w:szCs w:val="24"/>
    </w:rPr>
  </w:style>
  <w:style w:type="character" w:customStyle="1" w:styleId="37">
    <w:name w:val="正文文本首行缩进 2 字符"/>
    <w:basedOn w:val="36"/>
    <w:link w:val="15"/>
    <w:autoRedefine/>
    <w:qFormat/>
    <w:uiPriority w:val="0"/>
    <w:rPr>
      <w:rFonts w:ascii="Calibri" w:hAnsi="Calibri"/>
      <w:kern w:val="2"/>
      <w:sz w:val="21"/>
      <w:szCs w:val="24"/>
    </w:rPr>
  </w:style>
  <w:style w:type="character" w:customStyle="1" w:styleId="38">
    <w:name w:val="HTML 预设格式 字符"/>
    <w:basedOn w:val="18"/>
    <w:link w:val="12"/>
    <w:autoRedefine/>
    <w:qFormat/>
    <w:uiPriority w:val="0"/>
    <w:rPr>
      <w:rFonts w:ascii="宋体" w:hAnsi="宋体"/>
      <w:sz w:val="24"/>
      <w:szCs w:val="24"/>
    </w:rPr>
  </w:style>
  <w:style w:type="character" w:customStyle="1" w:styleId="39">
    <w:name w:val="页脚 字符"/>
    <w:basedOn w:val="18"/>
    <w:link w:val="10"/>
    <w:qFormat/>
    <w:uiPriority w:val="99"/>
    <w:rPr>
      <w:rFonts w:ascii="Calibri" w:hAnsi="Calibri"/>
      <w:kern w:val="2"/>
      <w:sz w:val="18"/>
      <w:szCs w:val="18"/>
    </w:rPr>
  </w:style>
  <w:style w:type="character" w:customStyle="1" w:styleId="40">
    <w:name w:val="未处理的提及1"/>
    <w:basedOn w:val="1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1819</Words>
  <Characters>10370</Characters>
  <Lines>86</Lines>
  <Paragraphs>24</Paragraphs>
  <TotalTime>15</TotalTime>
  <ScaleCrop>false</ScaleCrop>
  <LinksUpToDate>false</LinksUpToDate>
  <CharactersWithSpaces>12165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2024-03-05T01:43:00Z</dcterms:created>
  <dc:creator>小田</dc:creator>
  <cp:lastModifiedBy>靑城未暖</cp:lastModifiedBy>
  <cp:lastPrinted>2024-03-05T09:15:00Z</cp:lastPrinted>
  <dcterms:modified xsi:type="dcterms:W3CDTF">2024-03-05T02:11:55Z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9B433386EE7440E0A4BE2FE74ADBF364_12</vt:lpwstr>
  </property>
</Properties>
</file>