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color w:val="FF0000"/>
        </w:rPr>
      </w:pPr>
      <w:bookmarkStart w:id="0" w:name="_Toc312072223"/>
      <w:r>
        <w:rPr>
          <w:rFonts w:hint="eastAsia"/>
          <w:b/>
          <w:color w:val="FF0000"/>
        </w:rPr>
        <w:t>特别说明：</w:t>
      </w:r>
    </w:p>
    <w:p>
      <w:pPr>
        <w:ind w:firstLine="413" w:firstLineChars="196"/>
        <w:jc w:val="left"/>
        <w:rPr>
          <w:rFonts w:ascii="黑体" w:eastAsia="黑体"/>
          <w:b/>
          <w:bCs/>
          <w:color w:val="FF0000"/>
          <w:w w:val="90"/>
          <w:sz w:val="72"/>
          <w:szCs w:val="72"/>
          <w:u w:val="single"/>
        </w:rPr>
      </w:pPr>
      <w:r>
        <w:rPr>
          <w:rFonts w:hint="eastAsia"/>
          <w:b/>
          <w:color w:val="FF0000"/>
        </w:rPr>
        <w:t>各县(市、区)应根据实际情况调整电话号码、地址、投标保证金交纳银行、网站名称、网址、投诉受理机关等相关信息。</w:t>
      </w:r>
    </w:p>
    <w:p>
      <w:pPr>
        <w:jc w:val="left"/>
        <w:rPr>
          <w:rFonts w:ascii="黑体" w:eastAsia="黑体"/>
          <w:b/>
          <w:bCs/>
          <w:w w:val="90"/>
          <w:sz w:val="72"/>
          <w:szCs w:val="72"/>
          <w:u w:val="single"/>
        </w:rPr>
      </w:pPr>
    </w:p>
    <w:p>
      <w:pPr>
        <w:jc w:val="center"/>
        <w:rPr>
          <w:rFonts w:ascii="黑体" w:eastAsia="黑体"/>
          <w:b/>
          <w:bCs/>
          <w:w w:val="90"/>
          <w:sz w:val="72"/>
          <w:szCs w:val="72"/>
          <w:u w:val="single"/>
        </w:rPr>
      </w:pPr>
    </w:p>
    <w:p>
      <w:pPr>
        <w:jc w:val="center"/>
        <w:rPr>
          <w:rFonts w:ascii="黑体" w:eastAsia="黑体"/>
          <w:b/>
          <w:bCs/>
          <w:w w:val="90"/>
          <w:sz w:val="72"/>
          <w:szCs w:val="72"/>
          <w:u w:val="single"/>
        </w:rPr>
      </w:pPr>
    </w:p>
    <w:p>
      <w:pPr>
        <w:jc w:val="center"/>
        <w:rPr>
          <w:rFonts w:ascii="黑体" w:eastAsia="黑体"/>
          <w:b/>
          <w:bCs/>
          <w:sz w:val="28"/>
          <w:szCs w:val="28"/>
        </w:rPr>
      </w:pPr>
      <w:r>
        <w:rPr>
          <w:rFonts w:hint="eastAsia" w:ascii="黑体" w:eastAsia="黑体"/>
          <w:b/>
          <w:bCs/>
          <w:w w:val="90"/>
          <w:sz w:val="72"/>
          <w:szCs w:val="72"/>
          <w:u w:val="single"/>
        </w:rPr>
        <w:t xml:space="preserve">                   </w:t>
      </w:r>
      <w:r>
        <w:rPr>
          <w:rFonts w:hint="eastAsia" w:ascii="黑体" w:eastAsia="黑体"/>
          <w:b/>
          <w:bCs/>
          <w:w w:val="90"/>
          <w:sz w:val="72"/>
          <w:szCs w:val="72"/>
        </w:rPr>
        <w:t>工程</w:t>
      </w:r>
    </w:p>
    <w:p>
      <w:pPr>
        <w:ind w:firstLine="435"/>
      </w:pPr>
    </w:p>
    <w:p>
      <w:pPr>
        <w:ind w:firstLine="437"/>
        <w:jc w:val="center"/>
        <w:rPr>
          <w:rFonts w:ascii="黑体" w:eastAsia="黑体"/>
          <w:sz w:val="84"/>
          <w:szCs w:val="84"/>
        </w:rPr>
      </w:pPr>
      <w:r>
        <w:rPr>
          <w:rFonts w:hint="eastAsia" w:ascii="黑体" w:eastAsia="黑体"/>
          <w:sz w:val="84"/>
          <w:szCs w:val="84"/>
        </w:rPr>
        <w:t>施工招标文件</w:t>
      </w:r>
    </w:p>
    <w:p>
      <w:pPr>
        <w:ind w:firstLine="435"/>
        <w:jc w:val="center"/>
        <w:rPr>
          <w:rFonts w:ascii="宋体" w:hAnsi="宋体"/>
          <w:b/>
          <w:sz w:val="48"/>
          <w:szCs w:val="48"/>
        </w:rP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
      <w:pPr>
        <w:spacing w:line="360" w:lineRule="auto"/>
        <w:ind w:firstLine="562" w:firstLineChars="200"/>
        <w:jc w:val="center"/>
        <w:rPr>
          <w:rFonts w:ascii="宋体" w:hAnsi="宋体"/>
          <w:b/>
          <w:sz w:val="28"/>
          <w:szCs w:val="28"/>
        </w:rPr>
      </w:pPr>
      <w:r>
        <w:rPr>
          <w:rFonts w:hint="eastAsia" w:ascii="宋体" w:hAnsi="宋体"/>
          <w:b/>
          <w:sz w:val="28"/>
          <w:szCs w:val="28"/>
        </w:rPr>
        <w:t>招标人：（盖单位章）</w:t>
      </w:r>
    </w:p>
    <w:p>
      <w:pPr>
        <w:spacing w:line="360" w:lineRule="auto"/>
        <w:ind w:firstLine="562" w:firstLineChars="200"/>
        <w:jc w:val="center"/>
        <w:rPr>
          <w:rFonts w:ascii="宋体" w:hAnsi="宋体"/>
          <w:b/>
          <w:sz w:val="28"/>
          <w:szCs w:val="28"/>
        </w:rPr>
      </w:pPr>
      <w:r>
        <w:rPr>
          <w:rFonts w:hint="eastAsia" w:ascii="宋体" w:hAnsi="宋体"/>
          <w:b/>
          <w:sz w:val="28"/>
          <w:szCs w:val="28"/>
        </w:rPr>
        <w:t>招标代理机构：（盖单位章）</w:t>
      </w:r>
    </w:p>
    <w:p>
      <w:pPr>
        <w:spacing w:line="360" w:lineRule="auto"/>
        <w:ind w:firstLine="562" w:firstLineChars="200"/>
        <w:jc w:val="center"/>
        <w:rPr>
          <w:rFonts w:ascii="宋体" w:hAnsi="宋体"/>
          <w:b/>
          <w:sz w:val="28"/>
          <w:szCs w:val="28"/>
        </w:rPr>
      </w:pPr>
      <w:r>
        <w:rPr>
          <w:rFonts w:hint="eastAsia" w:ascii="宋体" w:hAnsi="宋体"/>
          <w:b/>
          <w:sz w:val="28"/>
          <w:szCs w:val="28"/>
        </w:rPr>
        <w:t>年月日</w:t>
      </w:r>
    </w:p>
    <w:p>
      <w:pPr>
        <w:spacing w:line="360" w:lineRule="auto"/>
        <w:ind w:firstLine="420" w:firstLineChars="200"/>
        <w:rPr>
          <w:rFonts w:ascii="宋体" w:hAnsi="宋体"/>
          <w:szCs w:val="21"/>
        </w:rPr>
        <w:sectPr>
          <w:headerReference r:id="rId3" w:type="default"/>
          <w:footerReference r:id="rId4" w:type="default"/>
          <w:pgSz w:w="11906" w:h="16838"/>
          <w:pgMar w:top="1418" w:right="1134" w:bottom="1418" w:left="1134" w:header="851" w:footer="992" w:gutter="0"/>
          <w:cols w:space="425" w:num="1"/>
          <w:docGrid w:type="lines" w:linePitch="312" w:charSpace="0"/>
        </w:sectPr>
      </w:pPr>
    </w:p>
    <w:p>
      <w:pPr>
        <w:autoSpaceDE w:val="0"/>
        <w:autoSpaceDN w:val="0"/>
        <w:adjustRightInd w:val="0"/>
        <w:jc w:val="center"/>
        <w:rPr>
          <w:rFonts w:eastAsia="黑体"/>
          <w:kern w:val="0"/>
          <w:sz w:val="46"/>
          <w:szCs w:val="18"/>
        </w:rPr>
      </w:pPr>
      <w:r>
        <w:rPr>
          <w:rFonts w:eastAsia="黑体"/>
          <w:kern w:val="0"/>
          <w:sz w:val="46"/>
          <w:szCs w:val="18"/>
        </w:rPr>
        <w:t>目 录</w:t>
      </w:r>
    </w:p>
    <w:p>
      <w:pPr>
        <w:autoSpaceDE w:val="0"/>
        <w:autoSpaceDN w:val="0"/>
        <w:adjustRightInd w:val="0"/>
        <w:jc w:val="center"/>
        <w:rPr>
          <w:rFonts w:eastAsia="黑体"/>
          <w:kern w:val="0"/>
          <w:sz w:val="46"/>
          <w:szCs w:val="18"/>
        </w:rPr>
      </w:pPr>
    </w:p>
    <w:p>
      <w:pPr>
        <w:autoSpaceDE w:val="0"/>
        <w:autoSpaceDN w:val="0"/>
        <w:adjustRightInd w:val="0"/>
        <w:jc w:val="left"/>
        <w:rPr>
          <w:rFonts w:eastAsia="黑体"/>
          <w:kern w:val="0"/>
          <w:sz w:val="28"/>
          <w:szCs w:val="28"/>
        </w:rPr>
      </w:pPr>
      <w:r>
        <w:rPr>
          <w:rFonts w:hint="eastAsia" w:eastAsia="黑体"/>
          <w:kern w:val="0"/>
          <w:sz w:val="28"/>
          <w:szCs w:val="28"/>
        </w:rPr>
        <w:t>第一章招标公告</w:t>
      </w:r>
    </w:p>
    <w:p>
      <w:pPr>
        <w:autoSpaceDE w:val="0"/>
        <w:autoSpaceDN w:val="0"/>
        <w:adjustRightInd w:val="0"/>
        <w:jc w:val="left"/>
        <w:rPr>
          <w:rFonts w:eastAsia="黑体"/>
          <w:kern w:val="0"/>
          <w:sz w:val="28"/>
          <w:szCs w:val="28"/>
        </w:rPr>
      </w:pPr>
      <w:r>
        <w:rPr>
          <w:rFonts w:hint="eastAsia" w:eastAsia="黑体"/>
          <w:kern w:val="0"/>
          <w:sz w:val="28"/>
          <w:szCs w:val="28"/>
        </w:rPr>
        <w:t>第二章投标人须知</w:t>
      </w:r>
    </w:p>
    <w:p>
      <w:pPr>
        <w:autoSpaceDE w:val="0"/>
        <w:autoSpaceDN w:val="0"/>
        <w:adjustRightInd w:val="0"/>
        <w:jc w:val="left"/>
        <w:rPr>
          <w:rFonts w:eastAsia="黑体"/>
          <w:kern w:val="0"/>
          <w:sz w:val="28"/>
          <w:szCs w:val="28"/>
        </w:rPr>
      </w:pPr>
      <w:r>
        <w:rPr>
          <w:rFonts w:hint="eastAsia" w:eastAsia="黑体"/>
          <w:kern w:val="0"/>
          <w:sz w:val="28"/>
          <w:szCs w:val="28"/>
        </w:rPr>
        <w:t>第三章评标办法</w:t>
      </w:r>
    </w:p>
    <w:p>
      <w:pPr>
        <w:autoSpaceDE w:val="0"/>
        <w:autoSpaceDN w:val="0"/>
        <w:adjustRightInd w:val="0"/>
        <w:jc w:val="left"/>
        <w:rPr>
          <w:rFonts w:eastAsia="黑体"/>
          <w:kern w:val="0"/>
          <w:sz w:val="28"/>
          <w:szCs w:val="28"/>
        </w:rPr>
      </w:pPr>
      <w:r>
        <w:rPr>
          <w:rFonts w:hint="eastAsia" w:eastAsia="黑体"/>
          <w:kern w:val="0"/>
          <w:sz w:val="28"/>
          <w:szCs w:val="28"/>
        </w:rPr>
        <w:t>第四章合同条款及格式</w:t>
      </w:r>
    </w:p>
    <w:p>
      <w:pPr>
        <w:autoSpaceDE w:val="0"/>
        <w:autoSpaceDN w:val="0"/>
        <w:adjustRightInd w:val="0"/>
        <w:jc w:val="left"/>
        <w:rPr>
          <w:rFonts w:eastAsia="黑体"/>
          <w:kern w:val="0"/>
          <w:sz w:val="28"/>
          <w:szCs w:val="28"/>
        </w:rPr>
      </w:pPr>
      <w:r>
        <w:rPr>
          <w:rFonts w:hint="eastAsia" w:eastAsia="黑体"/>
          <w:kern w:val="0"/>
          <w:sz w:val="28"/>
          <w:szCs w:val="28"/>
        </w:rPr>
        <w:t>第五章工程量清单</w:t>
      </w:r>
    </w:p>
    <w:p>
      <w:pPr>
        <w:autoSpaceDE w:val="0"/>
        <w:autoSpaceDN w:val="0"/>
        <w:adjustRightInd w:val="0"/>
        <w:jc w:val="left"/>
        <w:rPr>
          <w:rFonts w:eastAsia="黑体"/>
          <w:kern w:val="0"/>
          <w:sz w:val="28"/>
          <w:szCs w:val="28"/>
        </w:rPr>
      </w:pPr>
      <w:r>
        <w:rPr>
          <w:rFonts w:hint="eastAsia" w:eastAsia="黑体"/>
          <w:kern w:val="0"/>
          <w:sz w:val="28"/>
          <w:szCs w:val="28"/>
        </w:rPr>
        <w:t>第六章图纸</w:t>
      </w:r>
    </w:p>
    <w:p>
      <w:pPr>
        <w:autoSpaceDE w:val="0"/>
        <w:autoSpaceDN w:val="0"/>
        <w:adjustRightInd w:val="0"/>
        <w:jc w:val="left"/>
        <w:rPr>
          <w:rFonts w:eastAsia="黑体"/>
          <w:kern w:val="0"/>
          <w:sz w:val="28"/>
          <w:szCs w:val="28"/>
        </w:rPr>
      </w:pPr>
      <w:r>
        <w:rPr>
          <w:rFonts w:hint="eastAsia" w:eastAsia="黑体"/>
          <w:kern w:val="0"/>
          <w:sz w:val="28"/>
          <w:szCs w:val="28"/>
        </w:rPr>
        <w:t>第七章技术标准和要求</w:t>
      </w:r>
    </w:p>
    <w:p>
      <w:pPr>
        <w:autoSpaceDE w:val="0"/>
        <w:autoSpaceDN w:val="0"/>
        <w:adjustRightInd w:val="0"/>
        <w:jc w:val="left"/>
        <w:rPr>
          <w:rFonts w:eastAsia="黑体"/>
          <w:kern w:val="0"/>
          <w:sz w:val="28"/>
          <w:szCs w:val="28"/>
        </w:rPr>
      </w:pPr>
      <w:r>
        <w:rPr>
          <w:rFonts w:hint="eastAsia" w:eastAsia="黑体"/>
          <w:kern w:val="0"/>
          <w:sz w:val="28"/>
          <w:szCs w:val="28"/>
        </w:rPr>
        <w:t>第八章投标文件格式</w:t>
      </w:r>
    </w:p>
    <w:p>
      <w:pPr>
        <w:autoSpaceDE w:val="0"/>
        <w:autoSpaceDN w:val="0"/>
        <w:adjustRightInd w:val="0"/>
        <w:jc w:val="left"/>
        <w:rPr>
          <w:rFonts w:eastAsia="黑体"/>
          <w:kern w:val="0"/>
          <w:sz w:val="28"/>
          <w:szCs w:val="28"/>
        </w:rPr>
      </w:pPr>
      <w:r>
        <w:rPr>
          <w:rFonts w:hint="eastAsia" w:eastAsia="黑体"/>
          <w:kern w:val="0"/>
          <w:sz w:val="28"/>
          <w:szCs w:val="28"/>
        </w:rPr>
        <w:t>第九章其他材料</w:t>
      </w:r>
    </w:p>
    <w:p>
      <w:pPr>
        <w:autoSpaceDE w:val="0"/>
        <w:autoSpaceDN w:val="0"/>
        <w:adjustRightInd w:val="0"/>
        <w:jc w:val="left"/>
        <w:rPr>
          <w:rFonts w:eastAsia="黑体"/>
          <w:kern w:val="0"/>
          <w:sz w:val="28"/>
          <w:szCs w:val="28"/>
        </w:rPr>
      </w:pPr>
    </w:p>
    <w:p>
      <w:pPr>
        <w:pStyle w:val="34"/>
        <w:tabs>
          <w:tab w:val="right" w:leader="dot" w:pos="8296"/>
        </w:tabs>
        <w:jc w:val="center"/>
        <w:rPr>
          <w:szCs w:val="24"/>
        </w:rPr>
      </w:pPr>
    </w:p>
    <w:p/>
    <w:p/>
    <w:p/>
    <w:p/>
    <w:p/>
    <w:p/>
    <w:p/>
    <w:p/>
    <w:p/>
    <w:p/>
    <w:p/>
    <w:p/>
    <w:p/>
    <w:p>
      <w:pPr>
        <w:pStyle w:val="2"/>
        <w:spacing w:line="240" w:lineRule="auto"/>
        <w:jc w:val="center"/>
        <w:rPr>
          <w:b w:val="0"/>
          <w:kern w:val="0"/>
          <w:szCs w:val="21"/>
        </w:rPr>
      </w:pPr>
    </w:p>
    <w:p>
      <w:pPr>
        <w:spacing w:beforeLines="100" w:afterLines="100"/>
        <w:jc w:val="center"/>
        <w:rPr>
          <w:rFonts w:eastAsia="黑体"/>
          <w:bCs/>
          <w:kern w:val="44"/>
          <w:sz w:val="44"/>
          <w:szCs w:val="44"/>
        </w:rPr>
      </w:pPr>
      <w:r>
        <w:rPr>
          <w:kern w:val="0"/>
          <w:szCs w:val="21"/>
        </w:rPr>
        <w:br w:type="page"/>
      </w:r>
      <w:bookmarkEnd w:id="0"/>
      <w:bookmarkStart w:id="785" w:name="_GoBack"/>
      <w:bookmarkEnd w:id="785"/>
      <w:bookmarkStart w:id="1" w:name="_Toc312072282"/>
      <w:r>
        <w:rPr>
          <w:rFonts w:hint="eastAsia" w:eastAsia="黑体"/>
          <w:bCs/>
          <w:kern w:val="44"/>
          <w:sz w:val="44"/>
          <w:szCs w:val="44"/>
        </w:rPr>
        <w:t>第一章 招标公告</w:t>
      </w:r>
    </w:p>
    <w:p>
      <w:pPr>
        <w:widowControl/>
        <w:spacing w:line="360" w:lineRule="exact"/>
        <w:jc w:val="center"/>
        <w:rPr>
          <w:b/>
          <w:sz w:val="36"/>
          <w:szCs w:val="36"/>
        </w:rPr>
      </w:pPr>
      <w:r>
        <w:rPr>
          <w:rFonts w:hint="eastAsia"/>
          <w:b/>
          <w:sz w:val="36"/>
          <w:szCs w:val="36"/>
        </w:rPr>
        <w:t>工程招标公告</w:t>
      </w:r>
    </w:p>
    <w:p>
      <w:pPr>
        <w:widowControl/>
        <w:spacing w:line="360" w:lineRule="exact"/>
        <w:jc w:val="center"/>
        <w:rPr>
          <w:b/>
          <w:sz w:val="36"/>
          <w:szCs w:val="36"/>
        </w:rPr>
      </w:pPr>
    </w:p>
    <w:p>
      <w:pPr>
        <w:spacing w:line="400" w:lineRule="exact"/>
        <w:rPr>
          <w:szCs w:val="21"/>
        </w:rPr>
      </w:pPr>
      <w:r>
        <w:rPr>
          <w:szCs w:val="21"/>
        </w:rPr>
        <w:t>　</w:t>
      </w:r>
      <w:r>
        <w:rPr>
          <w:rFonts w:hint="eastAsia"/>
          <w:szCs w:val="21"/>
          <w:lang w:val="en-US" w:eastAsia="zh-CN"/>
        </w:rPr>
        <w:t xml:space="preserve">    </w:t>
      </w:r>
      <w:r>
        <w:rPr>
          <w:szCs w:val="21"/>
        </w:rPr>
        <w:t>本招标项目</w:t>
      </w:r>
      <w:r>
        <w:rPr>
          <w:szCs w:val="21"/>
          <w:u w:val="single"/>
        </w:rPr>
        <w:t xml:space="preserve">           </w:t>
      </w:r>
      <w:r>
        <w:rPr>
          <w:szCs w:val="21"/>
        </w:rPr>
        <w:t>（项目名称）已由</w:t>
      </w:r>
      <w:r>
        <w:rPr>
          <w:szCs w:val="21"/>
          <w:u w:val="single"/>
        </w:rPr>
        <w:t xml:space="preserve">       </w:t>
      </w:r>
      <w:r>
        <w:rPr>
          <w:rFonts w:hint="eastAsia"/>
          <w:szCs w:val="21"/>
          <w:u w:val="single"/>
        </w:rPr>
        <w:t xml:space="preserve"> </w:t>
      </w:r>
      <w:r>
        <w:rPr>
          <w:szCs w:val="21"/>
          <w:u w:val="single"/>
        </w:rPr>
        <w:t xml:space="preserve">   </w:t>
      </w:r>
      <w:r>
        <w:rPr>
          <w:szCs w:val="21"/>
        </w:rPr>
        <w:t>（项目审批、核准或备案机关名称）以</w:t>
      </w:r>
      <w:r>
        <w:rPr>
          <w:szCs w:val="21"/>
          <w:u w:val="single"/>
        </w:rPr>
        <w:t xml:space="preserve">              </w:t>
      </w:r>
      <w:r>
        <w:rPr>
          <w:szCs w:val="21"/>
        </w:rPr>
        <w:t>（批文名称及编号）批准建设，项目业主为</w:t>
      </w:r>
      <w:r>
        <w:rPr>
          <w:szCs w:val="21"/>
          <w:u w:val="single"/>
        </w:rPr>
        <w:t xml:space="preserve">           </w:t>
      </w:r>
      <w:r>
        <w:rPr>
          <w:szCs w:val="21"/>
        </w:rPr>
        <w:t>，建设资金来自</w:t>
      </w:r>
      <w:r>
        <w:rPr>
          <w:szCs w:val="21"/>
          <w:u w:val="single"/>
        </w:rPr>
        <w:t xml:space="preserve">              </w:t>
      </w:r>
      <w:r>
        <w:rPr>
          <w:szCs w:val="21"/>
        </w:rPr>
        <w:t>（资金来源），项目出资比例为</w:t>
      </w:r>
      <w:r>
        <w:rPr>
          <w:szCs w:val="21"/>
          <w:u w:val="single"/>
        </w:rPr>
        <w:t xml:space="preserve">          </w:t>
      </w:r>
      <w:r>
        <w:rPr>
          <w:szCs w:val="21"/>
        </w:rPr>
        <w:t>，招标人为</w:t>
      </w:r>
      <w:r>
        <w:rPr>
          <w:szCs w:val="21"/>
          <w:u w:val="single"/>
        </w:rPr>
        <w:t xml:space="preserve">  </w:t>
      </w:r>
      <w:r>
        <w:rPr>
          <w:rFonts w:hint="eastAsia"/>
          <w:szCs w:val="21"/>
          <w:u w:val="single"/>
        </w:rPr>
        <w:t xml:space="preserve">     </w:t>
      </w:r>
      <w:r>
        <w:rPr>
          <w:szCs w:val="21"/>
          <w:u w:val="single"/>
        </w:rPr>
        <w:t xml:space="preserve">   </w:t>
      </w:r>
      <w:r>
        <w:rPr>
          <w:szCs w:val="21"/>
        </w:rPr>
        <w:t>。项目已具备招标条件，现对该项目</w:t>
      </w:r>
      <w:r>
        <w:rPr>
          <w:rFonts w:hint="eastAsia"/>
          <w:szCs w:val="21"/>
        </w:rPr>
        <w:t>施工</w:t>
      </w:r>
      <w:r>
        <w:rPr>
          <w:szCs w:val="21"/>
        </w:rPr>
        <w:t>进行公开招标。</w:t>
      </w:r>
    </w:p>
    <w:p>
      <w:pPr>
        <w:widowControl/>
        <w:spacing w:line="320" w:lineRule="exact"/>
        <w:ind w:firstLine="480" w:firstLineChars="200"/>
        <w:rPr>
          <w:rFonts w:cs="Arial"/>
          <w:sz w:val="24"/>
        </w:rPr>
      </w:pPr>
      <w:r>
        <w:rPr>
          <w:rFonts w:hint="eastAsia" w:cs="Arial"/>
          <w:sz w:val="24"/>
        </w:rPr>
        <w:t xml:space="preserve">一、项目基本信息 </w:t>
      </w:r>
    </w:p>
    <w:p>
      <w:pPr>
        <w:widowControl/>
        <w:spacing w:line="320" w:lineRule="exact"/>
        <w:ind w:firstLine="480" w:firstLineChars="200"/>
        <w:rPr>
          <w:rFonts w:cs="Arial"/>
          <w:sz w:val="24"/>
        </w:rPr>
      </w:pPr>
      <w:r>
        <w:rPr>
          <w:rFonts w:hint="eastAsia" w:cs="Arial"/>
          <w:sz w:val="24"/>
        </w:rPr>
        <w:t xml:space="preserve">1、档案编号： </w:t>
      </w:r>
    </w:p>
    <w:p>
      <w:pPr>
        <w:widowControl/>
        <w:spacing w:line="320" w:lineRule="exact"/>
        <w:ind w:firstLine="480" w:firstLineChars="200"/>
        <w:rPr>
          <w:rFonts w:cs="Arial"/>
          <w:sz w:val="24"/>
        </w:rPr>
      </w:pPr>
      <w:r>
        <w:rPr>
          <w:rFonts w:hint="eastAsia" w:cs="Arial"/>
          <w:sz w:val="24"/>
        </w:rPr>
        <w:t>2、工程名称：</w:t>
      </w:r>
    </w:p>
    <w:p>
      <w:pPr>
        <w:widowControl/>
        <w:spacing w:line="320" w:lineRule="exact"/>
        <w:ind w:firstLine="480" w:firstLineChars="200"/>
        <w:rPr>
          <w:rFonts w:cs="Arial"/>
          <w:sz w:val="24"/>
        </w:rPr>
      </w:pPr>
      <w:r>
        <w:rPr>
          <w:rFonts w:hint="eastAsia" w:cs="Arial"/>
          <w:sz w:val="24"/>
        </w:rPr>
        <w:t xml:space="preserve">3、标段划分： </w:t>
      </w:r>
    </w:p>
    <w:p>
      <w:pPr>
        <w:widowControl/>
        <w:spacing w:line="320" w:lineRule="exact"/>
        <w:ind w:firstLine="480" w:firstLineChars="200"/>
        <w:rPr>
          <w:rFonts w:cs="Arial"/>
          <w:sz w:val="24"/>
        </w:rPr>
      </w:pPr>
      <w:r>
        <w:rPr>
          <w:rFonts w:hint="eastAsia" w:cs="Arial"/>
          <w:sz w:val="24"/>
        </w:rPr>
        <w:t>4、工程概况：（面积、层数、结构类型等）</w:t>
      </w:r>
    </w:p>
    <w:p>
      <w:pPr>
        <w:widowControl/>
        <w:spacing w:line="320" w:lineRule="exact"/>
        <w:ind w:firstLine="480" w:firstLineChars="200"/>
        <w:rPr>
          <w:rFonts w:cs="Arial"/>
          <w:sz w:val="24"/>
        </w:rPr>
      </w:pPr>
      <w:r>
        <w:rPr>
          <w:rFonts w:hint="eastAsia" w:cs="Arial"/>
          <w:sz w:val="24"/>
        </w:rPr>
        <w:t>5、招标人：</w:t>
      </w:r>
    </w:p>
    <w:p>
      <w:pPr>
        <w:widowControl/>
        <w:spacing w:line="320" w:lineRule="exact"/>
        <w:ind w:firstLine="480" w:firstLineChars="200"/>
        <w:rPr>
          <w:rFonts w:cs="Arial"/>
          <w:sz w:val="24"/>
        </w:rPr>
      </w:pPr>
      <w:r>
        <w:rPr>
          <w:rFonts w:hint="eastAsia" w:cs="Arial"/>
          <w:sz w:val="24"/>
        </w:rPr>
        <w:t>联系地址：</w:t>
      </w:r>
    </w:p>
    <w:p>
      <w:pPr>
        <w:widowControl/>
        <w:spacing w:line="320" w:lineRule="exact"/>
        <w:ind w:firstLine="480" w:firstLineChars="200"/>
        <w:rPr>
          <w:rFonts w:cs="Arial"/>
          <w:sz w:val="24"/>
        </w:rPr>
      </w:pPr>
      <w:r>
        <w:rPr>
          <w:rFonts w:hint="eastAsia" w:cs="Arial"/>
          <w:sz w:val="24"/>
        </w:rPr>
        <w:t>联系人：</w:t>
      </w:r>
    </w:p>
    <w:p>
      <w:pPr>
        <w:widowControl/>
        <w:spacing w:line="320" w:lineRule="exact"/>
        <w:ind w:firstLine="480" w:firstLineChars="200"/>
        <w:rPr>
          <w:rFonts w:cs="Arial"/>
          <w:sz w:val="24"/>
        </w:rPr>
      </w:pPr>
      <w:r>
        <w:rPr>
          <w:rFonts w:hint="eastAsia" w:cs="Arial"/>
          <w:sz w:val="24"/>
        </w:rPr>
        <w:t>6、招标代理机构：</w:t>
      </w:r>
    </w:p>
    <w:p>
      <w:pPr>
        <w:widowControl/>
        <w:spacing w:line="320" w:lineRule="exact"/>
        <w:ind w:firstLine="480" w:firstLineChars="200"/>
        <w:rPr>
          <w:rFonts w:cs="Arial"/>
          <w:sz w:val="24"/>
        </w:rPr>
      </w:pPr>
      <w:r>
        <w:rPr>
          <w:rFonts w:hint="eastAsia" w:cs="Arial"/>
          <w:sz w:val="24"/>
        </w:rPr>
        <w:t>联系地址：</w:t>
      </w:r>
    </w:p>
    <w:p>
      <w:pPr>
        <w:widowControl/>
        <w:spacing w:line="320" w:lineRule="exact"/>
        <w:ind w:firstLine="480" w:firstLineChars="200"/>
        <w:rPr>
          <w:rFonts w:cs="Arial"/>
          <w:sz w:val="24"/>
        </w:rPr>
      </w:pPr>
      <w:r>
        <w:rPr>
          <w:rFonts w:hint="eastAsia" w:cs="Arial"/>
          <w:sz w:val="24"/>
        </w:rPr>
        <w:t xml:space="preserve">联系人： </w:t>
      </w:r>
    </w:p>
    <w:p>
      <w:pPr>
        <w:widowControl/>
        <w:spacing w:line="320" w:lineRule="exact"/>
        <w:ind w:firstLine="480" w:firstLineChars="200"/>
        <w:rPr>
          <w:rFonts w:cs="Arial"/>
          <w:sz w:val="24"/>
        </w:rPr>
      </w:pPr>
      <w:r>
        <w:rPr>
          <w:rFonts w:hint="eastAsia" w:cs="Arial"/>
          <w:sz w:val="24"/>
        </w:rPr>
        <w:t xml:space="preserve">二、投标人资格要求 </w:t>
      </w:r>
    </w:p>
    <w:p>
      <w:pPr>
        <w:widowControl/>
        <w:spacing w:line="320" w:lineRule="exact"/>
        <w:ind w:firstLine="480" w:firstLineChars="200"/>
        <w:rPr>
          <w:rFonts w:cs="Arial"/>
          <w:sz w:val="24"/>
        </w:rPr>
      </w:pPr>
      <w:r>
        <w:rPr>
          <w:rFonts w:hint="eastAsia" w:cs="Arial"/>
          <w:sz w:val="24"/>
        </w:rPr>
        <w:t>1、具备独立法人资格；</w:t>
      </w:r>
    </w:p>
    <w:p>
      <w:pPr>
        <w:widowControl/>
        <w:spacing w:line="320" w:lineRule="exact"/>
        <w:ind w:firstLine="480" w:firstLineChars="200"/>
        <w:rPr>
          <w:rFonts w:cs="Arial"/>
          <w:sz w:val="24"/>
        </w:rPr>
      </w:pPr>
      <w:r>
        <w:rPr>
          <w:rFonts w:hint="eastAsia" w:cs="Arial"/>
          <w:sz w:val="24"/>
        </w:rPr>
        <w:t>2、具备专业级别资质，并在人员、设备、资金等方面具有相应的施工能力；</w:t>
      </w:r>
    </w:p>
    <w:p>
      <w:pPr>
        <w:widowControl/>
        <w:spacing w:line="320" w:lineRule="exact"/>
        <w:ind w:firstLine="480" w:firstLineChars="200"/>
        <w:rPr>
          <w:rFonts w:cs="Arial"/>
          <w:b/>
          <w:color w:val="FF0000"/>
          <w:sz w:val="24"/>
        </w:rPr>
      </w:pPr>
      <w:r>
        <w:rPr>
          <w:rFonts w:hint="eastAsia" w:cs="Arial"/>
          <w:sz w:val="24"/>
        </w:rPr>
        <w:t>3、项目负责人必须为专业级注</w:t>
      </w:r>
      <w:r>
        <w:rPr>
          <w:rFonts w:hint="eastAsia" w:ascii="宋体" w:hAnsi="宋体"/>
          <w:sz w:val="24"/>
        </w:rPr>
        <w:t>册建造师</w:t>
      </w:r>
      <w:r>
        <w:rPr>
          <w:rFonts w:hint="eastAsia" w:cs="Arial"/>
          <w:b/>
          <w:color w:val="FF0000"/>
          <w:sz w:val="24"/>
        </w:rPr>
        <w:t>（须在本单位注册）并同时具备建造师安全生产考核合格证书（B证）；</w:t>
      </w:r>
    </w:p>
    <w:p>
      <w:pPr>
        <w:widowControl/>
        <w:spacing w:line="320" w:lineRule="exact"/>
        <w:ind w:firstLine="480" w:firstLineChars="200"/>
        <w:rPr>
          <w:rFonts w:cs="Arial"/>
          <w:sz w:val="24"/>
        </w:rPr>
      </w:pPr>
      <w:r>
        <w:rPr>
          <w:rFonts w:hint="eastAsia" w:cs="Arial"/>
          <w:sz w:val="24"/>
        </w:rPr>
        <w:t>4、具备有效的营业执照和安全生产许可证；</w:t>
      </w:r>
    </w:p>
    <w:p>
      <w:pPr>
        <w:widowControl/>
        <w:spacing w:line="320" w:lineRule="exact"/>
        <w:ind w:firstLine="480" w:firstLineChars="200"/>
        <w:rPr>
          <w:rFonts w:cs="Arial"/>
          <w:sz w:val="24"/>
        </w:rPr>
      </w:pPr>
      <w:r>
        <w:rPr>
          <w:rFonts w:hint="eastAsia" w:cs="Arial"/>
          <w:sz w:val="24"/>
        </w:rPr>
        <w:t>5、未被暂停或取消济宁市范围内招标项目的投标资格；</w:t>
      </w:r>
    </w:p>
    <w:p>
      <w:pPr>
        <w:widowControl/>
        <w:spacing w:line="320" w:lineRule="exact"/>
        <w:ind w:firstLine="480" w:firstLineChars="200"/>
        <w:rPr>
          <w:rFonts w:cs="Arial"/>
          <w:b/>
          <w:color w:val="FF0000"/>
          <w:sz w:val="24"/>
        </w:rPr>
      </w:pPr>
      <w:r>
        <w:rPr>
          <w:rFonts w:hint="eastAsia" w:cs="Arial"/>
          <w:sz w:val="24"/>
        </w:rPr>
        <w:t>6、在本项目首次招标投标过程中，存在围标串标、弄虚作假等违法违规行为导致首次招标失败等情形的，不能参加本项目投标。（具体以市建设行政主管部门的处罚决定书为准）；</w:t>
      </w:r>
      <w:r>
        <w:rPr>
          <w:rFonts w:hint="eastAsia" w:cs="Arial"/>
          <w:b/>
          <w:color w:val="FF0000"/>
          <w:sz w:val="24"/>
        </w:rPr>
        <w:t>（发布二次招标公告时由招标人选择使用本条）</w:t>
      </w:r>
    </w:p>
    <w:p>
      <w:pPr>
        <w:widowControl/>
        <w:spacing w:line="320" w:lineRule="exact"/>
        <w:ind w:firstLine="480" w:firstLineChars="200"/>
        <w:rPr>
          <w:rFonts w:cs="Arial"/>
          <w:sz w:val="24"/>
        </w:rPr>
      </w:pPr>
      <w:r>
        <w:rPr>
          <w:rFonts w:hint="eastAsia" w:cs="Arial"/>
          <w:sz w:val="24"/>
        </w:rPr>
        <w:t>7、本工程不接受（或接受）联合体投标；</w:t>
      </w:r>
    </w:p>
    <w:p>
      <w:pPr>
        <w:widowControl/>
        <w:spacing w:line="320" w:lineRule="exact"/>
        <w:ind w:firstLine="480" w:firstLineChars="200"/>
        <w:rPr>
          <w:rFonts w:cs="Arial"/>
          <w:sz w:val="24"/>
        </w:rPr>
      </w:pPr>
      <w:r>
        <w:rPr>
          <w:rFonts w:hint="eastAsia" w:cs="Arial"/>
          <w:sz w:val="24"/>
        </w:rPr>
        <w:t>8、资格审查方式：资格后审（或资格预审）；</w:t>
      </w:r>
    </w:p>
    <w:p>
      <w:pPr>
        <w:widowControl/>
        <w:spacing w:line="320" w:lineRule="exact"/>
        <w:ind w:firstLine="480" w:firstLineChars="200"/>
        <w:rPr>
          <w:rFonts w:cs="Arial"/>
          <w:b/>
          <w:sz w:val="24"/>
        </w:rPr>
      </w:pPr>
      <w:r>
        <w:rPr>
          <w:rFonts w:hint="eastAsia" w:ascii="宋体" w:hAnsi="宋体" w:cs="Arial"/>
          <w:sz w:val="24"/>
        </w:rPr>
        <w:t>9、</w:t>
      </w:r>
      <w:r>
        <w:rPr>
          <w:rFonts w:hint="eastAsia" w:ascii="宋体" w:hAnsi="宋体" w:cs="Arial"/>
          <w:b/>
          <w:color w:val="FF0000"/>
          <w:sz w:val="24"/>
          <w:highlight w:val="cyan"/>
        </w:rPr>
        <w:t>投标人投标截止时间前须同时通过“山东省建筑市场监管与诚信信息一体化平台”和“济宁市建筑市场监管与诚信信息一体化平台” (</w:t>
      </w:r>
      <w:r>
        <w:rPr>
          <w:rFonts w:ascii="宋体" w:hAnsi="宋体" w:cs="Arial"/>
          <w:b/>
          <w:color w:val="FF0000"/>
          <w:sz w:val="24"/>
          <w:highlight w:val="cyan"/>
        </w:rPr>
        <w:t>http://120.224.81.15:10080/login3.jsp</w:t>
      </w:r>
      <w:r>
        <w:rPr>
          <w:rFonts w:hint="eastAsia" w:ascii="宋体" w:hAnsi="宋体" w:cs="Arial"/>
          <w:b/>
          <w:color w:val="FF0000"/>
          <w:sz w:val="24"/>
          <w:highlight w:val="cyan"/>
        </w:rPr>
        <w:t>)注册验证报送企业基本信息。（若是组成联合体投标的，联合体所有成员均须通过注册验证）</w:t>
      </w:r>
      <w:r>
        <w:rPr>
          <w:rFonts w:hint="eastAsia" w:ascii="宋体" w:hAnsi="宋体" w:cs="Arial"/>
          <w:b/>
          <w:color w:val="FF0000"/>
          <w:sz w:val="24"/>
        </w:rPr>
        <w:t>(特别提示：由于企业注册信息审核需一定时间，建议各投标人在投标截止时间前3个工作日，完成上述两个平台的注册申请。)</w:t>
      </w:r>
    </w:p>
    <w:p>
      <w:pPr>
        <w:widowControl/>
        <w:spacing w:line="320" w:lineRule="exact"/>
        <w:ind w:firstLine="480" w:firstLineChars="200"/>
        <w:rPr>
          <w:rFonts w:cs="Arial"/>
          <w:sz w:val="24"/>
        </w:rPr>
      </w:pPr>
      <w:r>
        <w:rPr>
          <w:rFonts w:hint="eastAsia" w:cs="Arial"/>
          <w:sz w:val="24"/>
        </w:rPr>
        <w:t xml:space="preserve">三、获取招标文件的时间及方式 </w:t>
      </w:r>
    </w:p>
    <w:p>
      <w:pPr>
        <w:widowControl/>
        <w:spacing w:line="320" w:lineRule="exact"/>
        <w:ind w:firstLine="480" w:firstLineChars="200"/>
        <w:rPr>
          <w:rFonts w:cs="Arial"/>
          <w:sz w:val="24"/>
        </w:rPr>
      </w:pPr>
      <w:r>
        <w:rPr>
          <w:rFonts w:cs="Arial"/>
          <w:sz w:val="24"/>
        </w:rPr>
        <w:t>1</w:t>
      </w:r>
      <w:r>
        <w:rPr>
          <w:rFonts w:hint="eastAsia" w:cs="Arial"/>
          <w:sz w:val="24"/>
        </w:rPr>
        <w:t xml:space="preserve">、获取招标文件的时间：   年  月  日—  年  月  日  时  分      </w:t>
      </w:r>
    </w:p>
    <w:p>
      <w:pPr>
        <w:widowControl/>
        <w:spacing w:line="320" w:lineRule="exact"/>
        <w:ind w:firstLine="480" w:firstLineChars="200"/>
        <w:rPr>
          <w:rFonts w:hint="eastAsia" w:cs="Arial"/>
          <w:sz w:val="24"/>
        </w:rPr>
      </w:pPr>
      <w:r>
        <w:rPr>
          <w:rFonts w:hint="eastAsia" w:cs="Arial"/>
          <w:sz w:val="24"/>
        </w:rPr>
        <w:t>2、招标文件获取方式：网上下载（</w:t>
      </w:r>
      <w:r>
        <w:fldChar w:fldCharType="begin"/>
      </w:r>
      <w:r>
        <w:instrText xml:space="preserve"> HYPERLINK "http://ggzy.jining.gov.cn" </w:instrText>
      </w:r>
      <w:r>
        <w:fldChar w:fldCharType="separate"/>
      </w:r>
      <w:r>
        <w:rPr>
          <w:rStyle w:val="50"/>
          <w:rFonts w:cs="Arial"/>
          <w:sz w:val="24"/>
        </w:rPr>
        <w:t>http://ggzy.jining.gov.cn</w:t>
      </w:r>
      <w:r>
        <w:rPr>
          <w:rStyle w:val="50"/>
          <w:rFonts w:cs="Arial"/>
          <w:sz w:val="24"/>
        </w:rPr>
        <w:fldChar w:fldCharType="end"/>
      </w:r>
      <w:r>
        <w:rPr>
          <w:rFonts w:hint="eastAsia" w:cs="Arial"/>
          <w:sz w:val="24"/>
        </w:rPr>
        <w:t>）</w:t>
      </w:r>
    </w:p>
    <w:p>
      <w:pPr>
        <w:widowControl/>
        <w:spacing w:line="320" w:lineRule="exact"/>
        <w:ind w:firstLine="480" w:firstLineChars="200"/>
        <w:rPr>
          <w:rFonts w:hint="eastAsia" w:cs="Arial"/>
          <w:b/>
          <w:sz w:val="24"/>
        </w:rPr>
      </w:pPr>
      <w:r>
        <w:rPr>
          <w:rFonts w:hint="eastAsia" w:cs="Arial"/>
          <w:sz w:val="24"/>
        </w:rPr>
        <w:t>四、</w:t>
      </w:r>
      <w:r>
        <w:rPr>
          <w:rFonts w:hint="eastAsia" w:cs="Arial"/>
          <w:b/>
          <w:sz w:val="24"/>
        </w:rPr>
        <w:t>投标文件的递交</w:t>
      </w:r>
    </w:p>
    <w:p>
      <w:pPr>
        <w:widowControl/>
        <w:spacing w:line="320" w:lineRule="exact"/>
        <w:ind w:firstLine="480" w:firstLineChars="200"/>
        <w:rPr>
          <w:rFonts w:cs="Arial"/>
          <w:sz w:val="24"/>
        </w:rPr>
      </w:pPr>
      <w:r>
        <w:rPr>
          <w:rFonts w:hint="eastAsia" w:cs="Arial"/>
          <w:sz w:val="24"/>
        </w:rPr>
        <w:t>递交截止时间：年 月  日  时 分</w:t>
      </w:r>
    </w:p>
    <w:p>
      <w:pPr>
        <w:widowControl/>
        <w:spacing w:line="320" w:lineRule="exact"/>
        <w:ind w:firstLine="480" w:firstLineChars="200"/>
        <w:rPr>
          <w:rFonts w:cs="Arial"/>
          <w:sz w:val="24"/>
        </w:rPr>
      </w:pPr>
      <w:r>
        <w:rPr>
          <w:rFonts w:hint="eastAsia" w:cs="Arial"/>
          <w:sz w:val="24"/>
        </w:rPr>
        <w:t>方式：投标人须在规定的提交投标文件时间内将电子投标文件按规定上传到建设工程招标投标电子运行管理系统。</w:t>
      </w:r>
    </w:p>
    <w:p>
      <w:pPr>
        <w:widowControl/>
        <w:spacing w:line="320" w:lineRule="exact"/>
        <w:ind w:firstLine="480" w:firstLineChars="200"/>
        <w:rPr>
          <w:rFonts w:cs="Arial"/>
          <w:sz w:val="24"/>
        </w:rPr>
      </w:pPr>
      <w:r>
        <w:rPr>
          <w:rFonts w:hint="eastAsia" w:cs="Arial"/>
          <w:sz w:val="24"/>
        </w:rPr>
        <w:t>五、发布公告的媒介</w:t>
      </w:r>
    </w:p>
    <w:p>
      <w:pPr>
        <w:widowControl/>
        <w:spacing w:line="320" w:lineRule="exact"/>
        <w:ind w:firstLine="480" w:firstLineChars="200"/>
        <w:rPr>
          <w:rFonts w:cs="Arial"/>
          <w:sz w:val="24"/>
        </w:rPr>
      </w:pPr>
      <w:r>
        <w:rPr>
          <w:rFonts w:hint="eastAsia" w:cs="Arial"/>
          <w:sz w:val="24"/>
        </w:rPr>
        <w:t>本次招标公告在</w:t>
      </w:r>
      <w:r>
        <w:rPr>
          <w:rFonts w:hint="eastAsia" w:cs="Arial"/>
          <w:sz w:val="24"/>
          <w:lang w:val="en-US" w:eastAsia="zh-CN"/>
        </w:rPr>
        <w:t>中国招投标公共服务平台、</w:t>
      </w:r>
      <w:r>
        <w:rPr>
          <w:rFonts w:hint="eastAsia"/>
        </w:rPr>
        <w:t>山东省公共资源交易网、</w:t>
      </w:r>
      <w:r>
        <w:rPr>
          <w:rFonts w:hint="eastAsia" w:cs="Arial"/>
          <w:sz w:val="24"/>
        </w:rPr>
        <w:t>济宁市住房和城乡建设局网、济宁市公共资源交易网上发布。</w:t>
      </w:r>
    </w:p>
    <w:p>
      <w:pPr>
        <w:widowControl/>
        <w:spacing w:line="320" w:lineRule="exact"/>
        <w:ind w:firstLine="480" w:firstLineChars="200"/>
        <w:rPr>
          <w:rFonts w:cs="Arial"/>
          <w:sz w:val="24"/>
        </w:rPr>
      </w:pPr>
      <w:r>
        <w:rPr>
          <w:rFonts w:hint="eastAsia" w:cs="Arial"/>
          <w:sz w:val="24"/>
        </w:rPr>
        <w:t>六、重要说明</w:t>
      </w:r>
    </w:p>
    <w:p>
      <w:pPr>
        <w:widowControl/>
        <w:spacing w:line="320" w:lineRule="exact"/>
        <w:ind w:firstLine="480" w:firstLineChars="200"/>
        <w:rPr>
          <w:rFonts w:cs="Arial"/>
          <w:sz w:val="24"/>
        </w:rPr>
      </w:pPr>
      <w:r>
        <w:rPr>
          <w:rFonts w:hint="eastAsia" w:cs="Arial"/>
          <w:sz w:val="24"/>
        </w:rPr>
        <w:t>各投标企业在投标前须办理企业网上注册手续，具体程序详见济宁市公共资源交易网《建设工程类企业注册流程》</w:t>
      </w:r>
      <w:r>
        <w:rPr>
          <w:rFonts w:cs="Arial"/>
          <w:sz w:val="24"/>
        </w:rPr>
        <w:t>(</w:t>
      </w:r>
      <w:r>
        <w:rPr>
          <w:rFonts w:hint="eastAsia" w:cs="Arial"/>
          <w:sz w:val="24"/>
        </w:rPr>
        <w:t>具体详见网站首页“企业注册流程”</w:t>
      </w:r>
      <w:r>
        <w:rPr>
          <w:rFonts w:cs="Arial"/>
          <w:sz w:val="24"/>
        </w:rPr>
        <w:t>)</w:t>
      </w:r>
      <w:r>
        <w:rPr>
          <w:rFonts w:hint="eastAsia" w:cs="Arial"/>
          <w:sz w:val="24"/>
        </w:rPr>
        <w:t>。</w:t>
      </w:r>
    </w:p>
    <w:p>
      <w:pPr>
        <w:widowControl/>
        <w:spacing w:line="320" w:lineRule="exact"/>
        <w:ind w:firstLine="480" w:firstLineChars="200"/>
        <w:rPr>
          <w:rFonts w:cs="Arial"/>
          <w:sz w:val="24"/>
        </w:rPr>
      </w:pPr>
      <w:r>
        <w:rPr>
          <w:rFonts w:hint="eastAsia" w:cs="Arial"/>
          <w:sz w:val="24"/>
        </w:rPr>
        <w:t>招标文件一经在济宁市公共资源交易网（</w:t>
      </w:r>
      <w:r>
        <w:rPr>
          <w:rFonts w:cs="Arial"/>
          <w:sz w:val="24"/>
        </w:rPr>
        <w:t>http://ggzy.jining.gov.cn</w:t>
      </w:r>
      <w:r>
        <w:rPr>
          <w:rFonts w:hint="eastAsia" w:cs="Arial"/>
          <w:sz w:val="24"/>
        </w:rPr>
        <w:t>）发布，视作已发放给所有投标人（发布时间即为发出招标文件的时间），各投标人应随时关注项目信息并及时在济宁市公共资源交易网下载电子版招标文件。否则所造成的一切后果由投标人自负。</w:t>
      </w:r>
    </w:p>
    <w:p>
      <w:pPr>
        <w:widowControl/>
        <w:spacing w:line="320" w:lineRule="exact"/>
        <w:ind w:firstLine="480" w:firstLineChars="200"/>
        <w:rPr>
          <w:rFonts w:cs="Arial"/>
          <w:sz w:val="24"/>
        </w:rPr>
      </w:pPr>
      <w:r>
        <w:rPr>
          <w:rFonts w:hint="eastAsia" w:cs="Arial"/>
          <w:sz w:val="24"/>
        </w:rPr>
        <w:t>请各投标人关注本公告下方的招标文件下载起止时间，在规定时间内及时下载招标文件，招标文件下载后才可获取投标保证金交纳账号。</w:t>
      </w:r>
    </w:p>
    <w:p>
      <w:pPr>
        <w:widowControl/>
        <w:spacing w:line="320" w:lineRule="exact"/>
        <w:ind w:firstLine="480" w:firstLineChars="200"/>
        <w:rPr>
          <w:rFonts w:cs="Arial"/>
          <w:sz w:val="24"/>
        </w:rPr>
      </w:pPr>
    </w:p>
    <w:p>
      <w:pPr>
        <w:spacing w:line="320" w:lineRule="exact"/>
        <w:ind w:firstLine="480" w:firstLineChars="200"/>
        <w:rPr>
          <w:rFonts w:ascii="宋体" w:hAnsi="宋体"/>
          <w:sz w:val="24"/>
        </w:rPr>
      </w:pPr>
      <w:r>
        <w:rPr>
          <w:rFonts w:hint="eastAsia"/>
          <w:sz w:val="24"/>
        </w:rPr>
        <w:t>                                                  年  月  日</w:t>
      </w: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spacing w:line="320" w:lineRule="exact"/>
        <w:ind w:firstLine="480" w:firstLineChars="200"/>
        <w:rPr>
          <w:rFonts w:ascii="宋体" w:hAnsi="宋体"/>
          <w:sz w:val="24"/>
        </w:rPr>
      </w:pPr>
    </w:p>
    <w:p>
      <w:pPr>
        <w:pStyle w:val="2"/>
        <w:spacing w:line="240" w:lineRule="auto"/>
        <w:jc w:val="center"/>
        <w:rPr>
          <w:rFonts w:eastAsia="黑体"/>
          <w:b w:val="0"/>
        </w:rPr>
      </w:pPr>
      <w:bookmarkStart w:id="2" w:name="_Toc312072224"/>
      <w:r>
        <w:rPr>
          <w:rFonts w:eastAsia="黑体"/>
          <w:b w:val="0"/>
        </w:rPr>
        <w:t>第</w:t>
      </w:r>
      <w:r>
        <w:rPr>
          <w:rFonts w:hint="eastAsia" w:eastAsia="黑体"/>
          <w:b w:val="0"/>
        </w:rPr>
        <w:t>二</w:t>
      </w:r>
      <w:r>
        <w:rPr>
          <w:rFonts w:eastAsia="黑体"/>
          <w:b w:val="0"/>
        </w:rPr>
        <w:t>章 投标人须知</w:t>
      </w:r>
      <w:bookmarkEnd w:id="2"/>
    </w:p>
    <w:p>
      <w:pPr>
        <w:pStyle w:val="66"/>
        <w:spacing w:before="240" w:after="240" w:line="360" w:lineRule="exact"/>
        <w:jc w:val="center"/>
        <w:rPr>
          <w:rFonts w:cs="Times New Roman"/>
          <w:sz w:val="36"/>
          <w:szCs w:val="36"/>
        </w:rPr>
      </w:pPr>
      <w:bookmarkStart w:id="3" w:name="_Toc312072225"/>
      <w:r>
        <w:rPr>
          <w:rFonts w:cs="Times New Roman"/>
          <w:sz w:val="36"/>
          <w:szCs w:val="36"/>
        </w:rPr>
        <w:t>投标人须知前附表</w:t>
      </w:r>
      <w:bookmarkEnd w:id="3"/>
    </w:p>
    <w:tbl>
      <w:tblPr>
        <w:tblStyle w:val="4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126"/>
        <w:gridCol w:w="122"/>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43" w:type="dxa"/>
            <w:vAlign w:val="center"/>
          </w:tcPr>
          <w:p>
            <w:pPr>
              <w:jc w:val="center"/>
              <w:rPr>
                <w:szCs w:val="21"/>
              </w:rPr>
            </w:pPr>
            <w:r>
              <w:rPr>
                <w:szCs w:val="21"/>
              </w:rPr>
              <w:t>条款号</w:t>
            </w:r>
          </w:p>
        </w:tc>
        <w:tc>
          <w:tcPr>
            <w:tcW w:w="2248" w:type="dxa"/>
            <w:gridSpan w:val="2"/>
            <w:vAlign w:val="center"/>
          </w:tcPr>
          <w:p>
            <w:pPr>
              <w:jc w:val="center"/>
              <w:rPr>
                <w:szCs w:val="21"/>
              </w:rPr>
            </w:pPr>
            <w:r>
              <w:rPr>
                <w:szCs w:val="21"/>
              </w:rPr>
              <w:t>条  款  名  称</w:t>
            </w:r>
          </w:p>
        </w:tc>
        <w:tc>
          <w:tcPr>
            <w:tcW w:w="6193" w:type="dxa"/>
            <w:vAlign w:val="center"/>
          </w:tcPr>
          <w:p>
            <w:pPr>
              <w:jc w:val="center"/>
              <w:rPr>
                <w:szCs w:val="21"/>
              </w:rPr>
            </w:pPr>
            <w:r>
              <w:rPr>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43" w:type="dxa"/>
            <w:vAlign w:val="center"/>
          </w:tcPr>
          <w:p>
            <w:pPr>
              <w:jc w:val="center"/>
              <w:rPr>
                <w:szCs w:val="21"/>
              </w:rPr>
            </w:pPr>
            <w:r>
              <w:rPr>
                <w:szCs w:val="21"/>
              </w:rPr>
              <w:t>1.1.2</w:t>
            </w:r>
          </w:p>
        </w:tc>
        <w:tc>
          <w:tcPr>
            <w:tcW w:w="2248" w:type="dxa"/>
            <w:gridSpan w:val="2"/>
            <w:vAlign w:val="center"/>
          </w:tcPr>
          <w:p>
            <w:pPr>
              <w:jc w:val="center"/>
            </w:pPr>
            <w:r>
              <w:t>招标人</w:t>
            </w:r>
          </w:p>
        </w:tc>
        <w:tc>
          <w:tcPr>
            <w:tcW w:w="6193" w:type="dxa"/>
            <w:vAlign w:val="center"/>
          </w:tcPr>
          <w:p>
            <w: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43" w:type="dxa"/>
            <w:vAlign w:val="center"/>
          </w:tcPr>
          <w:p>
            <w:pPr>
              <w:jc w:val="center"/>
              <w:rPr>
                <w:szCs w:val="21"/>
              </w:rPr>
            </w:pPr>
            <w:r>
              <w:rPr>
                <w:szCs w:val="21"/>
              </w:rPr>
              <w:t>1.1.3</w:t>
            </w:r>
          </w:p>
        </w:tc>
        <w:tc>
          <w:tcPr>
            <w:tcW w:w="2248" w:type="dxa"/>
            <w:gridSpan w:val="2"/>
            <w:vAlign w:val="center"/>
          </w:tcPr>
          <w:p>
            <w:pPr>
              <w:jc w:val="center"/>
              <w:rPr>
                <w:szCs w:val="21"/>
              </w:rPr>
            </w:pPr>
            <w:r>
              <w:rPr>
                <w:szCs w:val="21"/>
              </w:rPr>
              <w:t>招标代理机构</w:t>
            </w:r>
          </w:p>
        </w:tc>
        <w:tc>
          <w:tcPr>
            <w:tcW w:w="6193" w:type="dxa"/>
            <w:vAlign w:val="center"/>
          </w:tcPr>
          <w:p>
            <w:pPr>
              <w:widowControl/>
              <w:rPr>
                <w:szCs w:val="21"/>
              </w:rPr>
            </w:pPr>
            <w:r>
              <w:rPr>
                <w:szCs w:val="21"/>
              </w:rPr>
              <w:t xml:space="preserve">代理机构： </w:t>
            </w:r>
          </w:p>
          <w:p>
            <w:pPr>
              <w:widowControl/>
              <w:rPr>
                <w:szCs w:val="21"/>
              </w:rPr>
            </w:pPr>
            <w:r>
              <w:rPr>
                <w:szCs w:val="21"/>
              </w:rPr>
              <w:t>联系人：</w:t>
            </w:r>
            <w:r>
              <w:rPr>
                <w:rFonts w:hint="eastAsia"/>
                <w:color w:val="FF0000"/>
                <w:szCs w:val="21"/>
              </w:rPr>
              <w:t>（须填写本单位负责本项目的招标代理专职人员）</w:t>
            </w:r>
          </w:p>
          <w:p>
            <w:pPr>
              <w:widowControl/>
              <w:rPr>
                <w:szCs w:val="21"/>
              </w:rPr>
            </w:pPr>
            <w:r>
              <w:rPr>
                <w:szCs w:val="21"/>
              </w:rPr>
              <w:t xml:space="preserve">地址： </w:t>
            </w:r>
          </w:p>
          <w:p>
            <w:pPr>
              <w:rPr>
                <w:szCs w:val="21"/>
              </w:rPr>
            </w:pPr>
            <w:r>
              <w:rPr>
                <w:szCs w:val="21"/>
              </w:rPr>
              <w:t>电话及传真：</w:t>
            </w:r>
          </w:p>
          <w:p>
            <w:pPr>
              <w:rPr>
                <w:szCs w:val="21"/>
              </w:rPr>
            </w:pPr>
            <w:r>
              <w:rPr>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43" w:type="dxa"/>
            <w:vAlign w:val="center"/>
          </w:tcPr>
          <w:p>
            <w:pPr>
              <w:jc w:val="center"/>
              <w:rPr>
                <w:szCs w:val="21"/>
              </w:rPr>
            </w:pPr>
            <w:r>
              <w:rPr>
                <w:szCs w:val="21"/>
              </w:rPr>
              <w:t>1.1.4</w:t>
            </w:r>
          </w:p>
        </w:tc>
        <w:tc>
          <w:tcPr>
            <w:tcW w:w="2248" w:type="dxa"/>
            <w:gridSpan w:val="2"/>
            <w:vAlign w:val="center"/>
          </w:tcPr>
          <w:p>
            <w:pPr>
              <w:pStyle w:val="12"/>
              <w:snapToGrid w:val="0"/>
              <w:jc w:val="center"/>
              <w:rPr>
                <w:szCs w:val="21"/>
              </w:rPr>
            </w:pPr>
            <w:r>
              <w:rPr>
                <w:szCs w:val="21"/>
              </w:rPr>
              <w:t>招标项目名称、</w:t>
            </w:r>
            <w:r>
              <w:rPr>
                <w:rFonts w:hint="eastAsia"/>
                <w:szCs w:val="21"/>
              </w:rPr>
              <w:t>档案</w:t>
            </w:r>
            <w:r>
              <w:rPr>
                <w:szCs w:val="21"/>
              </w:rPr>
              <w:t>编号和标段划分</w:t>
            </w:r>
          </w:p>
        </w:tc>
        <w:tc>
          <w:tcPr>
            <w:tcW w:w="6193" w:type="dxa"/>
            <w:vAlign w:val="center"/>
          </w:tcPr>
          <w:p>
            <w:pPr>
              <w:widowControl/>
              <w:jc w:val="left"/>
            </w:pPr>
            <w:r>
              <w:rPr>
                <w:rFonts w:hint="eastAsia"/>
              </w:rPr>
              <w:t>项目名称：</w:t>
            </w:r>
          </w:p>
          <w:p>
            <w:pPr>
              <w:widowControl/>
              <w:jc w:val="left"/>
              <w:rPr>
                <w:kern w:val="0"/>
                <w:szCs w:val="21"/>
              </w:rPr>
            </w:pPr>
            <w:r>
              <w:rPr>
                <w:rFonts w:hint="eastAsia"/>
                <w:kern w:val="0"/>
                <w:szCs w:val="21"/>
              </w:rPr>
              <w:t>档案</w:t>
            </w:r>
            <w:r>
              <w:rPr>
                <w:kern w:val="0"/>
                <w:szCs w:val="21"/>
              </w:rPr>
              <w:t>编号：</w:t>
            </w:r>
          </w:p>
          <w:p>
            <w:pPr>
              <w:widowControl/>
              <w:jc w:val="left"/>
              <w:rPr>
                <w:kern w:val="0"/>
                <w:szCs w:val="21"/>
              </w:rPr>
            </w:pPr>
            <w:r>
              <w:rPr>
                <w:kern w:val="0"/>
                <w:szCs w:val="21"/>
              </w:rPr>
              <w:t xml:space="preserve">标段划分：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43" w:type="dxa"/>
            <w:vAlign w:val="center"/>
          </w:tcPr>
          <w:p>
            <w:pPr>
              <w:jc w:val="center"/>
              <w:rPr>
                <w:szCs w:val="21"/>
              </w:rPr>
            </w:pPr>
            <w:r>
              <w:rPr>
                <w:rFonts w:hint="eastAsia"/>
                <w:szCs w:val="21"/>
              </w:rPr>
              <w:t>1.1.5</w:t>
            </w:r>
          </w:p>
        </w:tc>
        <w:tc>
          <w:tcPr>
            <w:tcW w:w="2248" w:type="dxa"/>
            <w:gridSpan w:val="2"/>
            <w:vAlign w:val="center"/>
          </w:tcPr>
          <w:p>
            <w:pPr>
              <w:pStyle w:val="12"/>
              <w:snapToGrid w:val="0"/>
              <w:ind w:firstLine="0" w:firstLineChars="0"/>
              <w:jc w:val="center"/>
              <w:rPr>
                <w:szCs w:val="21"/>
              </w:rPr>
            </w:pPr>
            <w:r>
              <w:rPr>
                <w:rFonts w:hint="eastAsia"/>
                <w:szCs w:val="21"/>
              </w:rPr>
              <w:t>工程概况</w:t>
            </w:r>
          </w:p>
        </w:tc>
        <w:tc>
          <w:tcPr>
            <w:tcW w:w="6193" w:type="dxa"/>
            <w:vAlign w:val="center"/>
          </w:tcPr>
          <w:p>
            <w:pPr>
              <w:widowControl/>
              <w:jc w:val="left"/>
              <w:rPr>
                <w:kern w:val="0"/>
                <w:szCs w:val="21"/>
              </w:rPr>
            </w:pPr>
            <w:r>
              <w:rPr>
                <w:rFonts w:hint="eastAsia" w:cs="Arial"/>
                <w:szCs w:val="21"/>
              </w:rPr>
              <w:t>（面积、层数、建筑结构类型等内容）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dxa"/>
            <w:vAlign w:val="center"/>
          </w:tcPr>
          <w:p>
            <w:pPr>
              <w:jc w:val="center"/>
              <w:rPr>
                <w:szCs w:val="21"/>
              </w:rPr>
            </w:pPr>
            <w:r>
              <w:rPr>
                <w:szCs w:val="21"/>
              </w:rPr>
              <w:t>1.1.</w:t>
            </w:r>
            <w:r>
              <w:rPr>
                <w:rFonts w:hint="eastAsia"/>
                <w:szCs w:val="21"/>
              </w:rPr>
              <w:t>6</w:t>
            </w:r>
          </w:p>
        </w:tc>
        <w:tc>
          <w:tcPr>
            <w:tcW w:w="2248" w:type="dxa"/>
            <w:gridSpan w:val="2"/>
            <w:vAlign w:val="center"/>
          </w:tcPr>
          <w:p>
            <w:pPr>
              <w:jc w:val="center"/>
              <w:rPr>
                <w:szCs w:val="21"/>
              </w:rPr>
            </w:pPr>
            <w:r>
              <w:rPr>
                <w:szCs w:val="21"/>
              </w:rPr>
              <w:t>建设地点</w:t>
            </w:r>
          </w:p>
        </w:tc>
        <w:tc>
          <w:tcPr>
            <w:tcW w:w="61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dxa"/>
            <w:vAlign w:val="center"/>
          </w:tcPr>
          <w:p>
            <w:pPr>
              <w:jc w:val="center"/>
              <w:rPr>
                <w:szCs w:val="21"/>
              </w:rPr>
            </w:pPr>
            <w:r>
              <w:rPr>
                <w:szCs w:val="21"/>
              </w:rPr>
              <w:t>1.2.1</w:t>
            </w:r>
          </w:p>
        </w:tc>
        <w:tc>
          <w:tcPr>
            <w:tcW w:w="2248" w:type="dxa"/>
            <w:gridSpan w:val="2"/>
            <w:vAlign w:val="center"/>
          </w:tcPr>
          <w:p>
            <w:pPr>
              <w:jc w:val="center"/>
              <w:rPr>
                <w:szCs w:val="21"/>
              </w:rPr>
            </w:pPr>
            <w:r>
              <w:rPr>
                <w:szCs w:val="21"/>
              </w:rPr>
              <w:t>资金来源</w:t>
            </w:r>
          </w:p>
        </w:tc>
        <w:tc>
          <w:tcPr>
            <w:tcW w:w="6193" w:type="dxa"/>
            <w:vAlign w:val="center"/>
          </w:tcPr>
          <w:p>
            <w:r>
              <w:rPr>
                <w:rFonts w:hint="eastAsia"/>
                <w:szCs w:val="21"/>
              </w:rPr>
              <w:t>国有投资/政府投资/ BT等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dxa"/>
            <w:vAlign w:val="center"/>
          </w:tcPr>
          <w:p>
            <w:pPr>
              <w:jc w:val="center"/>
              <w:rPr>
                <w:szCs w:val="21"/>
              </w:rPr>
            </w:pPr>
            <w:r>
              <w:rPr>
                <w:szCs w:val="21"/>
              </w:rPr>
              <w:t>1.2.</w:t>
            </w:r>
            <w:r>
              <w:rPr>
                <w:rFonts w:hint="eastAsia"/>
                <w:szCs w:val="21"/>
              </w:rPr>
              <w:t>2</w:t>
            </w:r>
          </w:p>
        </w:tc>
        <w:tc>
          <w:tcPr>
            <w:tcW w:w="2248" w:type="dxa"/>
            <w:gridSpan w:val="2"/>
            <w:vAlign w:val="center"/>
          </w:tcPr>
          <w:p>
            <w:pPr>
              <w:jc w:val="center"/>
              <w:rPr>
                <w:szCs w:val="21"/>
              </w:rPr>
            </w:pPr>
            <w:r>
              <w:rPr>
                <w:szCs w:val="21"/>
              </w:rPr>
              <w:t>招标方式</w:t>
            </w:r>
          </w:p>
        </w:tc>
        <w:tc>
          <w:tcPr>
            <w:tcW w:w="61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exact"/>
          <w:jc w:val="center"/>
        </w:trPr>
        <w:tc>
          <w:tcPr>
            <w:tcW w:w="1043" w:type="dxa"/>
            <w:vAlign w:val="center"/>
          </w:tcPr>
          <w:p>
            <w:pPr>
              <w:jc w:val="center"/>
              <w:rPr>
                <w:szCs w:val="21"/>
              </w:rPr>
            </w:pPr>
            <w:r>
              <w:rPr>
                <w:rFonts w:hint="eastAsia"/>
                <w:szCs w:val="21"/>
              </w:rPr>
              <w:t>1.2.3</w:t>
            </w:r>
          </w:p>
        </w:tc>
        <w:tc>
          <w:tcPr>
            <w:tcW w:w="2248" w:type="dxa"/>
            <w:gridSpan w:val="2"/>
            <w:vAlign w:val="center"/>
          </w:tcPr>
          <w:p>
            <w:pPr>
              <w:jc w:val="center"/>
              <w:rPr>
                <w:szCs w:val="21"/>
              </w:rPr>
            </w:pPr>
            <w:r>
              <w:rPr>
                <w:rFonts w:hint="eastAsia"/>
                <w:szCs w:val="21"/>
              </w:rPr>
              <w:t>招标控制价</w:t>
            </w:r>
          </w:p>
        </w:tc>
        <w:tc>
          <w:tcPr>
            <w:tcW w:w="6193" w:type="dxa"/>
            <w:vAlign w:val="center"/>
          </w:tcPr>
          <w:p>
            <w:pPr>
              <w:pStyle w:val="15"/>
              <w:ind w:firstLine="420" w:firstLineChars="200"/>
              <w:rPr>
                <w:color w:val="FF0000"/>
                <w:szCs w:val="21"/>
              </w:rPr>
            </w:pPr>
            <w:r>
              <w:rPr>
                <w:rFonts w:hint="eastAsia"/>
                <w:color w:val="FF0000"/>
                <w:szCs w:val="21"/>
              </w:rPr>
              <w:t>招标控制价为：     万元人民币</w:t>
            </w:r>
          </w:p>
          <w:p>
            <w:pPr>
              <w:pStyle w:val="15"/>
              <w:ind w:firstLine="315" w:firstLineChars="150"/>
              <w:rPr>
                <w:color w:val="FF0000"/>
                <w:szCs w:val="21"/>
              </w:rPr>
            </w:pPr>
            <w:r>
              <w:rPr>
                <w:rFonts w:hint="eastAsia"/>
                <w:color w:val="FF0000"/>
                <w:szCs w:val="21"/>
              </w:rPr>
              <w:t>（其中措施项目费为：     万元人民币）。</w:t>
            </w:r>
          </w:p>
          <w:p>
            <w:pPr>
              <w:spacing w:line="312" w:lineRule="auto"/>
              <w:rPr>
                <w:color w:val="FF0000"/>
                <w:szCs w:val="21"/>
              </w:rPr>
            </w:pPr>
            <w:r>
              <w:rPr>
                <w:color w:val="FF0000"/>
                <w:szCs w:val="21"/>
              </w:rPr>
              <w:t>招标控制价是招标人对招标工程预期的最高限价。投标人的投标报价不得高于招标控制价，投标报价高于招标控制价的，将否决其投标。</w:t>
            </w:r>
          </w:p>
          <w:p>
            <w:pPr>
              <w:spacing w:line="312" w:lineRule="auto"/>
              <w:rPr>
                <w:color w:val="000000"/>
              </w:rPr>
            </w:pPr>
            <w:r>
              <w:rPr>
                <w:rFonts w:hint="eastAsia" w:hAnsi="宋体"/>
                <w:b/>
                <w:color w:val="FF0000"/>
                <w:sz w:val="24"/>
                <w:highlight w:val="yellow"/>
              </w:rPr>
              <w:t>本招标控制价中包括“招标代理费”万元，投标人应直接按照招标控制价中列出的“招标代理费”计入投标总价，不得增减。（招标代理费约定由中标人支付时，设置本条款；否则，取消本条款）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dxa"/>
            <w:vAlign w:val="center"/>
          </w:tcPr>
          <w:p>
            <w:pPr>
              <w:jc w:val="center"/>
              <w:rPr>
                <w:szCs w:val="21"/>
              </w:rPr>
            </w:pPr>
            <w:r>
              <w:rPr>
                <w:szCs w:val="21"/>
              </w:rPr>
              <w:t>1.3.1</w:t>
            </w:r>
          </w:p>
        </w:tc>
        <w:tc>
          <w:tcPr>
            <w:tcW w:w="2248" w:type="dxa"/>
            <w:gridSpan w:val="2"/>
            <w:vAlign w:val="center"/>
          </w:tcPr>
          <w:p>
            <w:pPr>
              <w:jc w:val="center"/>
              <w:rPr>
                <w:szCs w:val="21"/>
              </w:rPr>
            </w:pPr>
            <w:r>
              <w:rPr>
                <w:szCs w:val="21"/>
              </w:rPr>
              <w:t>招标范围</w:t>
            </w:r>
          </w:p>
        </w:tc>
        <w:tc>
          <w:tcPr>
            <w:tcW w:w="6193"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3" w:type="dxa"/>
            <w:vAlign w:val="center"/>
          </w:tcPr>
          <w:p>
            <w:pPr>
              <w:jc w:val="center"/>
              <w:rPr>
                <w:szCs w:val="21"/>
              </w:rPr>
            </w:pPr>
            <w:r>
              <w:rPr>
                <w:szCs w:val="21"/>
              </w:rPr>
              <w:t>1.3.2</w:t>
            </w:r>
          </w:p>
        </w:tc>
        <w:tc>
          <w:tcPr>
            <w:tcW w:w="2248" w:type="dxa"/>
            <w:gridSpan w:val="2"/>
            <w:vAlign w:val="center"/>
          </w:tcPr>
          <w:p>
            <w:pPr>
              <w:jc w:val="center"/>
              <w:rPr>
                <w:szCs w:val="21"/>
              </w:rPr>
            </w:pPr>
            <w:r>
              <w:rPr>
                <w:szCs w:val="21"/>
              </w:rPr>
              <w:t>计划工期</w:t>
            </w:r>
          </w:p>
        </w:tc>
        <w:tc>
          <w:tcPr>
            <w:tcW w:w="6193" w:type="dxa"/>
            <w:vAlign w:val="center"/>
          </w:tcPr>
          <w:p>
            <w:pPr>
              <w:rPr>
                <w:b/>
              </w:rPr>
            </w:pPr>
            <w:r>
              <w:rPr>
                <w:rFonts w:hint="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043" w:type="dxa"/>
            <w:vAlign w:val="center"/>
          </w:tcPr>
          <w:p>
            <w:pPr>
              <w:jc w:val="center"/>
              <w:rPr>
                <w:szCs w:val="21"/>
              </w:rPr>
            </w:pPr>
            <w:r>
              <w:rPr>
                <w:szCs w:val="21"/>
              </w:rPr>
              <w:t>1.3.3</w:t>
            </w:r>
          </w:p>
        </w:tc>
        <w:tc>
          <w:tcPr>
            <w:tcW w:w="2248" w:type="dxa"/>
            <w:gridSpan w:val="2"/>
            <w:vAlign w:val="center"/>
          </w:tcPr>
          <w:p>
            <w:pPr>
              <w:jc w:val="center"/>
              <w:rPr>
                <w:szCs w:val="21"/>
              </w:rPr>
            </w:pPr>
            <w:r>
              <w:rPr>
                <w:szCs w:val="21"/>
              </w:rPr>
              <w:t>质量要求</w:t>
            </w:r>
          </w:p>
        </w:tc>
        <w:tc>
          <w:tcPr>
            <w:tcW w:w="6193" w:type="dxa"/>
            <w:vAlign w:val="center"/>
          </w:tcPr>
          <w:p>
            <w:pPr>
              <w:rPr>
                <w:szCs w:val="21"/>
              </w:rPr>
            </w:pPr>
            <w:r>
              <w:rPr>
                <w:szCs w:val="21"/>
              </w:rPr>
              <w:t xml:space="preserve">质量标准： </w:t>
            </w:r>
            <w:r>
              <w:rPr>
                <w:rFonts w:hint="eastAsia"/>
                <w:szCs w:val="21"/>
              </w:rPr>
              <w:t>合格</w:t>
            </w:r>
          </w:p>
          <w:p>
            <w:pPr>
              <w:rPr>
                <w:szCs w:val="21"/>
              </w:rPr>
            </w:pPr>
            <w:bookmarkStart w:id="4" w:name="c__5067016_"/>
            <w:r>
              <w:rPr>
                <w:rFonts w:hint="eastAsia" w:ascii="宋体" w:hAnsi="宋体"/>
                <w:color w:val="000000"/>
                <w:szCs w:val="21"/>
              </w:rPr>
              <w:t>质量目标：</w:t>
            </w:r>
            <w:r>
              <w:rPr>
                <w:rFonts w:hint="eastAsia"/>
                <w:color w:val="000000"/>
                <w:sz w:val="24"/>
              </w:rPr>
              <w:t>（</w:t>
            </w:r>
            <w:r>
              <w:rPr>
                <w:rFonts w:hint="eastAsia" w:ascii="宋体" w:hAnsi="宋体"/>
                <w:color w:val="000000"/>
                <w:szCs w:val="21"/>
                <w:highlight w:val="cyan"/>
              </w:rPr>
              <w:t>获得国家级、省级和市级工程奖项的，分别按照合同价的1.5%、1.0%和0.8%的标准计取优质优价费用，作为不可竞争费用，用于工程创优。</w:t>
            </w:r>
            <w:r>
              <w:rPr>
                <w:rFonts w:hint="eastAsia"/>
                <w:color w:val="000000"/>
                <w:sz w:val="24"/>
              </w:rPr>
              <w:t>）</w:t>
            </w:r>
            <w:bookmarkEnd w:id="4"/>
          </w:p>
          <w:p>
            <w:pPr>
              <w:rPr>
                <w:szCs w:val="21"/>
              </w:rPr>
            </w:pPr>
            <w:r>
              <w:rPr>
                <w:szCs w:val="21"/>
              </w:rPr>
              <w:t>关于质量要求的详细说明见第</w:t>
            </w:r>
            <w:r>
              <w:rPr>
                <w:rFonts w:hint="eastAsia"/>
                <w:szCs w:val="21"/>
              </w:rPr>
              <w:t>七</w:t>
            </w:r>
            <w:r>
              <w:rPr>
                <w:szCs w:val="21"/>
              </w:rPr>
              <w:t>章</w:t>
            </w:r>
            <w:r>
              <w:rPr>
                <w:rFonts w:hint="eastAsia"/>
                <w:szCs w:val="21"/>
              </w:rPr>
              <w:t>“</w:t>
            </w:r>
            <w:r>
              <w:rPr>
                <w:szCs w:val="21"/>
              </w:rPr>
              <w:t>技术标准和要求</w:t>
            </w:r>
            <w:r>
              <w:rPr>
                <w:rFonts w:hint="eastAsia"/>
                <w:szCs w:val="21"/>
              </w:rPr>
              <w:t>”</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043" w:type="dxa"/>
            <w:vAlign w:val="center"/>
          </w:tcPr>
          <w:p>
            <w:pPr>
              <w:jc w:val="center"/>
              <w:rPr>
                <w:szCs w:val="21"/>
              </w:rPr>
            </w:pPr>
            <w:r>
              <w:rPr>
                <w:szCs w:val="21"/>
              </w:rPr>
              <w:t>1.3.</w:t>
            </w:r>
            <w:r>
              <w:rPr>
                <w:rFonts w:hint="eastAsia"/>
                <w:szCs w:val="21"/>
              </w:rPr>
              <w:t>4</w:t>
            </w:r>
          </w:p>
        </w:tc>
        <w:tc>
          <w:tcPr>
            <w:tcW w:w="2248" w:type="dxa"/>
            <w:gridSpan w:val="2"/>
            <w:vAlign w:val="center"/>
          </w:tcPr>
          <w:p>
            <w:pPr>
              <w:jc w:val="center"/>
              <w:rPr>
                <w:szCs w:val="21"/>
              </w:rPr>
            </w:pPr>
            <w:r>
              <w:rPr>
                <w:szCs w:val="21"/>
              </w:rPr>
              <w:t>安全要求</w:t>
            </w:r>
          </w:p>
        </w:tc>
        <w:tc>
          <w:tcPr>
            <w:tcW w:w="6193" w:type="dxa"/>
            <w:vAlign w:val="center"/>
          </w:tcPr>
          <w:p>
            <w:pPr>
              <w:rPr>
                <w:szCs w:val="21"/>
              </w:rPr>
            </w:pPr>
            <w:r>
              <w:rPr>
                <w:rFonts w:hint="eastAsia"/>
                <w:szCs w:val="21"/>
              </w:rPr>
              <w:t>安全标准：符合国家安全生产管理相关规定</w:t>
            </w:r>
          </w:p>
          <w:p>
            <w:pPr>
              <w:rPr>
                <w:szCs w:val="21"/>
              </w:rPr>
            </w:pPr>
            <w:r>
              <w:rPr>
                <w:rFonts w:hint="eastAsia"/>
                <w:szCs w:val="21"/>
              </w:rPr>
              <w:t>安全目标：</w:t>
            </w:r>
            <w:r>
              <w:rPr>
                <w:rFonts w:hint="eastAsia"/>
                <w:color w:val="000000"/>
                <w:sz w:val="24"/>
              </w:rPr>
              <w:t>（</w:t>
            </w:r>
            <w:r>
              <w:rPr>
                <w:rFonts w:hint="eastAsia" w:ascii="宋体" w:hAnsi="宋体"/>
                <w:color w:val="000000"/>
                <w:szCs w:val="21"/>
                <w:highlight w:val="cyan"/>
              </w:rPr>
              <w:t>获得国家级、省级和市级工程奖项的，分别按照合同价的1.5%、1.0%和0.8%的标准计取优质优价费用，作为不可竞争费用，用于工程创优。</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43" w:type="dxa"/>
            <w:vAlign w:val="center"/>
          </w:tcPr>
          <w:p>
            <w:pPr>
              <w:jc w:val="center"/>
              <w:rPr>
                <w:rFonts w:hint="default" w:eastAsia="宋体"/>
                <w:szCs w:val="21"/>
                <w:lang w:val="en-US" w:eastAsia="zh-CN"/>
              </w:rPr>
            </w:pPr>
            <w:r>
              <w:rPr>
                <w:rFonts w:hint="eastAsia"/>
                <w:szCs w:val="21"/>
                <w:lang w:val="en-US" w:eastAsia="zh-CN"/>
              </w:rPr>
              <w:t>1.3.5</w:t>
            </w:r>
          </w:p>
        </w:tc>
        <w:tc>
          <w:tcPr>
            <w:tcW w:w="8441" w:type="dxa"/>
            <w:gridSpan w:val="3"/>
            <w:vAlign w:val="center"/>
          </w:tcPr>
          <w:p>
            <w:pPr>
              <w:rPr>
                <w:rFonts w:hint="eastAsia"/>
                <w:szCs w:val="21"/>
              </w:rPr>
            </w:pPr>
            <w:r>
              <w:rPr>
                <w:rFonts w:hint="eastAsia"/>
                <w:szCs w:val="21"/>
              </w:rPr>
              <w:t>若本项目获得多个不同级别的质量奖、安全奖时，优质优价费用按最高等级计算，不累加不重复计算。（执行省住建厅、省发改委鲁建建管字〔2019〕16号文件）”</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043" w:type="dxa"/>
            <w:vAlign w:val="center"/>
          </w:tcPr>
          <w:p>
            <w:pPr>
              <w:jc w:val="center"/>
              <w:rPr>
                <w:color w:val="FF0000"/>
                <w:szCs w:val="21"/>
              </w:rPr>
            </w:pPr>
            <w:r>
              <w:rPr>
                <w:color w:val="FF0000"/>
                <w:szCs w:val="21"/>
              </w:rPr>
              <w:t>1.4.1</w:t>
            </w:r>
          </w:p>
        </w:tc>
        <w:tc>
          <w:tcPr>
            <w:tcW w:w="2248" w:type="dxa"/>
            <w:gridSpan w:val="2"/>
            <w:vAlign w:val="center"/>
          </w:tcPr>
          <w:p>
            <w:pPr>
              <w:jc w:val="center"/>
              <w:rPr>
                <w:color w:val="FF0000"/>
                <w:szCs w:val="21"/>
              </w:rPr>
            </w:pPr>
            <w:r>
              <w:rPr>
                <w:color w:val="FF0000"/>
                <w:szCs w:val="21"/>
              </w:rPr>
              <w:t>投标人资质条件、        能力和信誉</w:t>
            </w:r>
          </w:p>
        </w:tc>
        <w:tc>
          <w:tcPr>
            <w:tcW w:w="6193" w:type="dxa"/>
            <w:vAlign w:val="center"/>
          </w:tcPr>
          <w:p>
            <w:pPr>
              <w:rPr>
                <w:color w:val="FF0000"/>
                <w:szCs w:val="21"/>
              </w:rPr>
            </w:pPr>
            <w:r>
              <w:rPr>
                <w:rFonts w:hint="eastAsia"/>
                <w:color w:val="FF0000"/>
                <w:szCs w:val="21"/>
              </w:rPr>
              <w:t>和招标公告一致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43" w:type="dxa"/>
            <w:vAlign w:val="center"/>
          </w:tcPr>
          <w:p>
            <w:pPr>
              <w:jc w:val="center"/>
              <w:rPr>
                <w:color w:val="FF0000"/>
                <w:szCs w:val="21"/>
              </w:rPr>
            </w:pPr>
            <w:r>
              <w:rPr>
                <w:color w:val="FF0000"/>
                <w:szCs w:val="21"/>
              </w:rPr>
              <w:t>1.4.2</w:t>
            </w:r>
          </w:p>
        </w:tc>
        <w:tc>
          <w:tcPr>
            <w:tcW w:w="2248" w:type="dxa"/>
            <w:gridSpan w:val="2"/>
            <w:vAlign w:val="center"/>
          </w:tcPr>
          <w:p>
            <w:pPr>
              <w:jc w:val="center"/>
              <w:rPr>
                <w:color w:val="FF0000"/>
                <w:szCs w:val="21"/>
              </w:rPr>
            </w:pPr>
            <w:r>
              <w:rPr>
                <w:color w:val="FF0000"/>
                <w:szCs w:val="21"/>
              </w:rPr>
              <w:t>是否接受联合体投标</w:t>
            </w:r>
          </w:p>
        </w:tc>
        <w:tc>
          <w:tcPr>
            <w:tcW w:w="6193" w:type="dxa"/>
            <w:vAlign w:val="center"/>
          </w:tcPr>
          <w:p>
            <w:pPr>
              <w:rPr>
                <w:color w:val="FF0000"/>
              </w:rPr>
            </w:pPr>
            <w:r>
              <w:rPr>
                <w:rFonts w:hint="eastAsia"/>
                <w:color w:val="FF0000"/>
              </w:rPr>
              <w:t>□不接受</w:t>
            </w:r>
          </w:p>
          <w:p>
            <w:pPr>
              <w:rPr>
                <w:color w:val="FF0000"/>
              </w:rPr>
            </w:pPr>
            <w:r>
              <w:rPr>
                <w:rFonts w:hint="eastAsia"/>
                <w:color w:val="FF0000"/>
              </w:rPr>
              <w:t>□接受，应满足下列要求：</w:t>
            </w:r>
          </w:p>
          <w:p>
            <w:pPr>
              <w:rPr>
                <w:color w:val="FF0000"/>
                <w:szCs w:val="21"/>
              </w:rPr>
            </w:pPr>
            <w:r>
              <w:rPr>
                <w:rFonts w:hint="eastAsia"/>
                <w:color w:val="FF0000"/>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43" w:type="dxa"/>
            <w:vAlign w:val="center"/>
          </w:tcPr>
          <w:p>
            <w:pPr>
              <w:jc w:val="center"/>
              <w:rPr>
                <w:szCs w:val="21"/>
              </w:rPr>
            </w:pPr>
            <w:r>
              <w:rPr>
                <w:szCs w:val="21"/>
              </w:rPr>
              <w:t>1.9.1</w:t>
            </w:r>
          </w:p>
        </w:tc>
        <w:tc>
          <w:tcPr>
            <w:tcW w:w="2248" w:type="dxa"/>
            <w:gridSpan w:val="2"/>
            <w:vAlign w:val="center"/>
          </w:tcPr>
          <w:p>
            <w:pPr>
              <w:jc w:val="center"/>
              <w:rPr>
                <w:szCs w:val="21"/>
              </w:rPr>
            </w:pPr>
            <w:r>
              <w:rPr>
                <w:szCs w:val="21"/>
              </w:rPr>
              <w:t>踏勘现场</w:t>
            </w:r>
          </w:p>
        </w:tc>
        <w:tc>
          <w:tcPr>
            <w:tcW w:w="6193" w:type="dxa"/>
            <w:vAlign w:val="center"/>
          </w:tcPr>
          <w:p>
            <w:pPr>
              <w:rPr>
                <w:szCs w:val="21"/>
              </w:rPr>
            </w:pPr>
            <w:r>
              <w:rPr>
                <w:rFonts w:hint="eastAsia"/>
                <w:szCs w:val="21"/>
              </w:rPr>
              <w:t>不统一组织踏勘现场，投标人可根据需要自行到项目现场进行踏勘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3" w:type="dxa"/>
            <w:vAlign w:val="center"/>
          </w:tcPr>
          <w:p>
            <w:pPr>
              <w:jc w:val="center"/>
              <w:rPr>
                <w:szCs w:val="21"/>
              </w:rPr>
            </w:pPr>
            <w:r>
              <w:rPr>
                <w:szCs w:val="21"/>
              </w:rPr>
              <w:t>1.10</w:t>
            </w:r>
          </w:p>
        </w:tc>
        <w:tc>
          <w:tcPr>
            <w:tcW w:w="2248" w:type="dxa"/>
            <w:gridSpan w:val="2"/>
            <w:vAlign w:val="center"/>
          </w:tcPr>
          <w:p>
            <w:pPr>
              <w:jc w:val="center"/>
              <w:rPr>
                <w:szCs w:val="21"/>
              </w:rPr>
            </w:pPr>
            <w:r>
              <w:rPr>
                <w:szCs w:val="21"/>
              </w:rPr>
              <w:t>投标预备会</w:t>
            </w:r>
          </w:p>
        </w:tc>
        <w:tc>
          <w:tcPr>
            <w:tcW w:w="6193" w:type="dxa"/>
            <w:vAlign w:val="center"/>
          </w:tcPr>
          <w:p>
            <w:pPr>
              <w:rPr>
                <w:szCs w:val="21"/>
              </w:rPr>
            </w:pPr>
            <w:r>
              <w:rPr>
                <w:rFonts w:hint="eastAsia"/>
              </w:rPr>
              <w:t>不</w:t>
            </w:r>
            <w:r>
              <w:rPr>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43" w:type="dxa"/>
            <w:vAlign w:val="center"/>
          </w:tcPr>
          <w:p>
            <w:pPr>
              <w:jc w:val="center"/>
              <w:rPr>
                <w:color w:val="FF0000"/>
                <w:szCs w:val="21"/>
              </w:rPr>
            </w:pPr>
            <w:r>
              <w:rPr>
                <w:color w:val="FF0000"/>
                <w:szCs w:val="21"/>
              </w:rPr>
              <w:t>1.11</w:t>
            </w:r>
          </w:p>
        </w:tc>
        <w:tc>
          <w:tcPr>
            <w:tcW w:w="2248" w:type="dxa"/>
            <w:gridSpan w:val="2"/>
            <w:vAlign w:val="center"/>
          </w:tcPr>
          <w:p>
            <w:pPr>
              <w:jc w:val="center"/>
              <w:rPr>
                <w:color w:val="FF0000"/>
                <w:szCs w:val="21"/>
              </w:rPr>
            </w:pPr>
            <w:r>
              <w:rPr>
                <w:color w:val="FF0000"/>
                <w:szCs w:val="21"/>
              </w:rPr>
              <w:t>分  包</w:t>
            </w:r>
          </w:p>
        </w:tc>
        <w:tc>
          <w:tcPr>
            <w:tcW w:w="6193" w:type="dxa"/>
            <w:vAlign w:val="center"/>
          </w:tcPr>
          <w:p>
            <w:pPr>
              <w:numPr>
                <w:ilvl w:val="0"/>
                <w:numId w:val="2"/>
              </w:numPr>
              <w:spacing w:line="288" w:lineRule="auto"/>
              <w:rPr>
                <w:rFonts w:ascii="宋体" w:hAnsi="宋体"/>
                <w:color w:val="FF0000"/>
                <w:szCs w:val="21"/>
              </w:rPr>
            </w:pPr>
            <w:r>
              <w:rPr>
                <w:rFonts w:hint="eastAsia" w:ascii="宋体" w:hAnsi="宋体"/>
                <w:color w:val="FF0000"/>
                <w:szCs w:val="21"/>
              </w:rPr>
              <w:t>不允许</w:t>
            </w:r>
          </w:p>
          <w:p>
            <w:pPr>
              <w:numPr>
                <w:ilvl w:val="0"/>
                <w:numId w:val="2"/>
              </w:numPr>
              <w:spacing w:line="288" w:lineRule="auto"/>
              <w:rPr>
                <w:rFonts w:ascii="宋体" w:hAnsi="宋体"/>
                <w:color w:val="FF0000"/>
                <w:szCs w:val="21"/>
              </w:rPr>
            </w:pPr>
            <w:r>
              <w:rPr>
                <w:rFonts w:hint="eastAsia" w:ascii="宋体" w:hAnsi="宋体"/>
                <w:color w:val="FF0000"/>
                <w:szCs w:val="21"/>
              </w:rPr>
              <w:t>允许，分包内容要求:</w:t>
            </w:r>
          </w:p>
          <w:p>
            <w:pPr>
              <w:spacing w:line="288" w:lineRule="auto"/>
              <w:rPr>
                <w:rFonts w:ascii="宋体" w:hAnsi="宋体"/>
                <w:color w:val="FF0000"/>
                <w:szCs w:val="21"/>
              </w:rPr>
            </w:pPr>
            <w:r>
              <w:rPr>
                <w:rFonts w:hint="eastAsia" w:ascii="宋体" w:hAnsi="宋体"/>
                <w:color w:val="FF0000"/>
                <w:szCs w:val="21"/>
              </w:rPr>
              <w:t xml:space="preserve">         分包金额要求:</w:t>
            </w:r>
          </w:p>
          <w:p>
            <w:pPr>
              <w:spacing w:line="288" w:lineRule="auto"/>
              <w:rPr>
                <w:color w:val="FF0000"/>
                <w:szCs w:val="21"/>
              </w:rPr>
            </w:pPr>
            <w:r>
              <w:rPr>
                <w:rFonts w:hint="eastAsia" w:ascii="宋体" w:hAnsi="宋体"/>
                <w:color w:val="FF0000"/>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3" w:type="dxa"/>
            <w:vAlign w:val="center"/>
          </w:tcPr>
          <w:p>
            <w:pPr>
              <w:jc w:val="center"/>
              <w:rPr>
                <w:szCs w:val="21"/>
              </w:rPr>
            </w:pPr>
            <w:r>
              <w:rPr>
                <w:szCs w:val="21"/>
              </w:rPr>
              <w:t>1.12</w:t>
            </w:r>
          </w:p>
        </w:tc>
        <w:tc>
          <w:tcPr>
            <w:tcW w:w="2248" w:type="dxa"/>
            <w:gridSpan w:val="2"/>
            <w:vAlign w:val="center"/>
          </w:tcPr>
          <w:p>
            <w:pPr>
              <w:jc w:val="center"/>
              <w:rPr>
                <w:szCs w:val="21"/>
              </w:rPr>
            </w:pPr>
            <w:r>
              <w:rPr>
                <w:szCs w:val="21"/>
              </w:rPr>
              <w:t>偏  离</w:t>
            </w:r>
          </w:p>
        </w:tc>
        <w:tc>
          <w:tcPr>
            <w:tcW w:w="6193" w:type="dxa"/>
            <w:vAlign w:val="center"/>
          </w:tcPr>
          <w:p>
            <w:pPr>
              <w:spacing w:line="288"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043" w:type="dxa"/>
            <w:vAlign w:val="center"/>
          </w:tcPr>
          <w:p>
            <w:pPr>
              <w:jc w:val="center"/>
              <w:rPr>
                <w:szCs w:val="21"/>
              </w:rPr>
            </w:pPr>
            <w:r>
              <w:rPr>
                <w:rFonts w:hint="eastAsia"/>
                <w:szCs w:val="21"/>
              </w:rPr>
              <w:t>2</w:t>
            </w:r>
          </w:p>
        </w:tc>
        <w:tc>
          <w:tcPr>
            <w:tcW w:w="2248" w:type="dxa"/>
            <w:gridSpan w:val="2"/>
            <w:vAlign w:val="center"/>
          </w:tcPr>
          <w:p>
            <w:pPr>
              <w:jc w:val="center"/>
              <w:rPr>
                <w:szCs w:val="21"/>
              </w:rPr>
            </w:pPr>
            <w:r>
              <w:rPr>
                <w:szCs w:val="21"/>
              </w:rPr>
              <w:t>招标文件</w:t>
            </w:r>
            <w:r>
              <w:rPr>
                <w:rFonts w:hint="eastAsia"/>
                <w:szCs w:val="21"/>
              </w:rPr>
              <w:t>的发布</w:t>
            </w:r>
          </w:p>
        </w:tc>
        <w:tc>
          <w:tcPr>
            <w:tcW w:w="6193" w:type="dxa"/>
            <w:vAlign w:val="center"/>
          </w:tcPr>
          <w:p>
            <w:pPr>
              <w:spacing w:line="288" w:lineRule="auto"/>
              <w:ind w:firstLine="420" w:firstLineChars="200"/>
              <w:rPr>
                <w:rFonts w:ascii="宋体" w:hAnsi="宋体"/>
                <w:szCs w:val="21"/>
              </w:rPr>
            </w:pPr>
            <w:r>
              <w:rPr>
                <w:rFonts w:ascii="宋体" w:hAnsi="宋体"/>
                <w:szCs w:val="21"/>
              </w:rPr>
              <w:t>招标文件</w:t>
            </w:r>
            <w:r>
              <w:rPr>
                <w:rFonts w:hint="eastAsia" w:ascii="宋体" w:hAnsi="宋体"/>
                <w:szCs w:val="21"/>
              </w:rPr>
              <w:t>在济宁市公共资源交易网（http://ggzy.jining.gov.cn）上发布。投标企业登录后，查看“本单位正在投标的项目”栏目，下载对应项目的电子招标文件、图纸等其他文件。</w:t>
            </w:r>
          </w:p>
          <w:p>
            <w:pPr>
              <w:spacing w:line="288" w:lineRule="auto"/>
              <w:ind w:firstLine="420" w:firstLineChars="200"/>
              <w:rPr>
                <w:rFonts w:ascii="宋体" w:hAnsi="宋体"/>
                <w:szCs w:val="21"/>
              </w:rPr>
            </w:pPr>
            <w:r>
              <w:rPr>
                <w:rFonts w:hint="eastAsia" w:ascii="宋体" w:hAnsi="宋体"/>
                <w:szCs w:val="21"/>
              </w:rPr>
              <w:t>招标文件一经在济宁市公共资源交易网（http://ggzy.jining.gov.cn）发布，视作已发放给所有投标人（发布时间即为发出招标文件的时间），各投标人应随时关注项目信息并及时在济宁市公共资源交易网下载电子版招标文件。否则所造成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43" w:type="dxa"/>
            <w:vAlign w:val="center"/>
          </w:tcPr>
          <w:p>
            <w:pPr>
              <w:jc w:val="center"/>
              <w:rPr>
                <w:szCs w:val="21"/>
              </w:rPr>
            </w:pPr>
            <w:r>
              <w:rPr>
                <w:szCs w:val="21"/>
              </w:rPr>
              <w:t>2.1</w:t>
            </w:r>
          </w:p>
        </w:tc>
        <w:tc>
          <w:tcPr>
            <w:tcW w:w="2248" w:type="dxa"/>
            <w:gridSpan w:val="2"/>
            <w:vAlign w:val="center"/>
          </w:tcPr>
          <w:p>
            <w:pPr>
              <w:jc w:val="center"/>
              <w:rPr>
                <w:szCs w:val="21"/>
              </w:rPr>
            </w:pPr>
            <w:r>
              <w:rPr>
                <w:szCs w:val="21"/>
              </w:rPr>
              <w:t>构成招标文件的其他材料</w:t>
            </w:r>
          </w:p>
        </w:tc>
        <w:tc>
          <w:tcPr>
            <w:tcW w:w="6193" w:type="dxa"/>
            <w:vAlign w:val="center"/>
          </w:tcPr>
          <w:p>
            <w:pPr>
              <w:ind w:firstLine="420" w:firstLineChars="200"/>
              <w:rPr>
                <w:color w:val="FF0000"/>
                <w:szCs w:val="21"/>
              </w:rPr>
            </w:pPr>
            <w:r>
              <w:rPr>
                <w:rFonts w:ascii="宋体" w:hAnsi="宋体"/>
                <w:color w:val="FF0000"/>
                <w:szCs w:val="21"/>
              </w:rPr>
              <w:t>工程量清单、招标控制价、图纸、澄清函、答疑函等</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43" w:type="dxa"/>
            <w:vAlign w:val="center"/>
          </w:tcPr>
          <w:p>
            <w:pPr>
              <w:jc w:val="center"/>
              <w:rPr>
                <w:szCs w:val="21"/>
              </w:rPr>
            </w:pPr>
            <w:r>
              <w:rPr>
                <w:szCs w:val="21"/>
              </w:rPr>
              <w:t>2.2.</w:t>
            </w:r>
            <w:r>
              <w:rPr>
                <w:rFonts w:hint="eastAsia"/>
                <w:szCs w:val="21"/>
              </w:rPr>
              <w:t>1</w:t>
            </w:r>
          </w:p>
        </w:tc>
        <w:tc>
          <w:tcPr>
            <w:tcW w:w="2248" w:type="dxa"/>
            <w:gridSpan w:val="2"/>
            <w:vAlign w:val="center"/>
          </w:tcPr>
          <w:p>
            <w:pPr>
              <w:jc w:val="center"/>
              <w:rPr>
                <w:szCs w:val="21"/>
              </w:rPr>
            </w:pPr>
            <w:r>
              <w:rPr>
                <w:rFonts w:hint="eastAsia"/>
                <w:color w:val="000000"/>
              </w:rPr>
              <w:t>投标人要求澄清招标文件的截止时间</w:t>
            </w:r>
          </w:p>
        </w:tc>
        <w:tc>
          <w:tcPr>
            <w:tcW w:w="6193" w:type="dxa"/>
            <w:vAlign w:val="center"/>
          </w:tcPr>
          <w:p>
            <w:pPr>
              <w:ind w:firstLine="420" w:firstLineChars="200"/>
              <w:rPr>
                <w:szCs w:val="21"/>
              </w:rPr>
            </w:pPr>
            <w:r>
              <w:rPr>
                <w:rFonts w:hint="eastAsia" w:ascii="宋体" w:hAnsi="宋体"/>
                <w:szCs w:val="21"/>
              </w:rPr>
              <w:t>年  月  日24时前，通过济宁市公共资源交易网（http://ggzy.jining.gov.cn）提出。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043" w:type="dxa"/>
            <w:vAlign w:val="center"/>
          </w:tcPr>
          <w:p>
            <w:pPr>
              <w:jc w:val="center"/>
              <w:rPr>
                <w:szCs w:val="21"/>
              </w:rPr>
            </w:pPr>
            <w:r>
              <w:rPr>
                <w:szCs w:val="21"/>
              </w:rPr>
              <w:t>2.</w:t>
            </w:r>
            <w:r>
              <w:rPr>
                <w:rFonts w:hint="eastAsia"/>
                <w:szCs w:val="21"/>
              </w:rPr>
              <w:t>2.2</w:t>
            </w:r>
          </w:p>
          <w:p>
            <w:pPr>
              <w:jc w:val="center"/>
              <w:rPr>
                <w:szCs w:val="21"/>
                <w:highlight w:val="green"/>
              </w:rPr>
            </w:pPr>
            <w:r>
              <w:rPr>
                <w:rFonts w:hint="eastAsia"/>
                <w:szCs w:val="21"/>
              </w:rPr>
              <w:t>2.3.1</w:t>
            </w:r>
          </w:p>
        </w:tc>
        <w:tc>
          <w:tcPr>
            <w:tcW w:w="2248" w:type="dxa"/>
            <w:gridSpan w:val="2"/>
            <w:vAlign w:val="center"/>
          </w:tcPr>
          <w:p>
            <w:pPr>
              <w:jc w:val="center"/>
              <w:rPr>
                <w:szCs w:val="21"/>
              </w:rPr>
            </w:pPr>
            <w:r>
              <w:rPr>
                <w:rFonts w:hint="eastAsia"/>
                <w:szCs w:val="21"/>
              </w:rPr>
              <w:t>招标人澄清或修改招标文件的时间及方式</w:t>
            </w:r>
          </w:p>
        </w:tc>
        <w:tc>
          <w:tcPr>
            <w:tcW w:w="6193" w:type="dxa"/>
            <w:vAlign w:val="center"/>
          </w:tcPr>
          <w:p>
            <w:pPr>
              <w:ind w:firstLine="525" w:firstLineChars="250"/>
              <w:rPr>
                <w:szCs w:val="21"/>
              </w:rPr>
            </w:pPr>
            <w:r>
              <w:rPr>
                <w:rFonts w:hint="eastAsia" w:ascii="宋体" w:hAnsi="宋体"/>
                <w:szCs w:val="21"/>
              </w:rPr>
              <w:t>年  月  日24时前，通过济宁市公共资源交易网（http://ggzy.jining.gov.cn）发布。招标文件的澄清或修改文件一经在济宁市公共资源交易网（http://ggzy.jining.gov.cn）发布，视作已发放给所有投标人，各投标人应随时关注项目信息，及时登陆济宁市公共资源交易网下载相关文件，否则所造成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dxa"/>
            <w:vAlign w:val="center"/>
          </w:tcPr>
          <w:p>
            <w:pPr>
              <w:jc w:val="center"/>
              <w:rPr>
                <w:szCs w:val="21"/>
                <w:highlight w:val="green"/>
              </w:rPr>
            </w:pPr>
            <w:r>
              <w:rPr>
                <w:rFonts w:hint="eastAsia"/>
                <w:szCs w:val="21"/>
              </w:rPr>
              <w:t>2.2.2</w:t>
            </w:r>
          </w:p>
        </w:tc>
        <w:tc>
          <w:tcPr>
            <w:tcW w:w="2248" w:type="dxa"/>
            <w:gridSpan w:val="2"/>
            <w:vAlign w:val="center"/>
          </w:tcPr>
          <w:p>
            <w:pPr>
              <w:jc w:val="center"/>
              <w:rPr>
                <w:szCs w:val="21"/>
              </w:rPr>
            </w:pPr>
            <w:r>
              <w:rPr>
                <w:szCs w:val="21"/>
              </w:rPr>
              <w:t>投标截止时间</w:t>
            </w:r>
          </w:p>
        </w:tc>
        <w:tc>
          <w:tcPr>
            <w:tcW w:w="6193" w:type="dxa"/>
            <w:vAlign w:val="center"/>
          </w:tcPr>
          <w:p>
            <w:pPr>
              <w:ind w:firstLine="315" w:firstLineChars="150"/>
              <w:rPr>
                <w:szCs w:val="21"/>
              </w:rPr>
            </w:pPr>
            <w:r>
              <w:rPr>
                <w:rFonts w:hint="eastAsia" w:ascii="宋体" w:hAnsi="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dxa"/>
            <w:vAlign w:val="center"/>
          </w:tcPr>
          <w:p>
            <w:pPr>
              <w:jc w:val="center"/>
              <w:rPr>
                <w:rFonts w:ascii="宋体" w:hAnsi="宋体"/>
                <w:szCs w:val="21"/>
              </w:rPr>
            </w:pPr>
            <w:r>
              <w:rPr>
                <w:rFonts w:hint="eastAsia"/>
                <w:szCs w:val="21"/>
              </w:rPr>
              <w:t>3.1.1</w:t>
            </w:r>
          </w:p>
        </w:tc>
        <w:tc>
          <w:tcPr>
            <w:tcW w:w="2248" w:type="dxa"/>
            <w:gridSpan w:val="2"/>
            <w:vAlign w:val="center"/>
          </w:tcPr>
          <w:p>
            <w:pPr>
              <w:spacing w:line="360" w:lineRule="auto"/>
              <w:jc w:val="center"/>
              <w:rPr>
                <w:rFonts w:ascii="宋体" w:hAnsi="宋体"/>
                <w:szCs w:val="21"/>
              </w:rPr>
            </w:pPr>
            <w:r>
              <w:rPr>
                <w:rFonts w:hint="eastAsia" w:ascii="宋体" w:hAnsi="宋体"/>
                <w:szCs w:val="21"/>
              </w:rPr>
              <w:t>构成投标文件的其他材料</w:t>
            </w:r>
          </w:p>
        </w:tc>
        <w:tc>
          <w:tcPr>
            <w:tcW w:w="619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dxa"/>
            <w:vAlign w:val="center"/>
          </w:tcPr>
          <w:p>
            <w:pPr>
              <w:jc w:val="center"/>
              <w:rPr>
                <w:szCs w:val="21"/>
              </w:rPr>
            </w:pPr>
            <w:r>
              <w:rPr>
                <w:rFonts w:hint="eastAsia"/>
                <w:szCs w:val="21"/>
              </w:rPr>
              <w:t>3.2.1</w:t>
            </w:r>
          </w:p>
        </w:tc>
        <w:tc>
          <w:tcPr>
            <w:tcW w:w="2248" w:type="dxa"/>
            <w:gridSpan w:val="2"/>
            <w:vAlign w:val="center"/>
          </w:tcPr>
          <w:p>
            <w:pPr>
              <w:jc w:val="center"/>
              <w:rPr>
                <w:rFonts w:ascii="宋体" w:hAnsi="宋体"/>
                <w:b/>
              </w:rPr>
            </w:pPr>
            <w:r>
              <w:rPr>
                <w:rFonts w:hint="eastAsia"/>
                <w:szCs w:val="21"/>
              </w:rPr>
              <w:t>报价方式</w:t>
            </w:r>
          </w:p>
        </w:tc>
        <w:tc>
          <w:tcPr>
            <w:tcW w:w="6193" w:type="dxa"/>
            <w:vAlign w:val="center"/>
          </w:tcPr>
          <w:p>
            <w:pPr>
              <w:ind w:firstLine="420" w:firstLineChars="200"/>
            </w:pPr>
            <w:r>
              <w:rPr>
                <w:rFonts w:hint="eastAsia"/>
              </w:rPr>
              <w:t>工程量清单报价（或其他报价方式）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dxa"/>
            <w:vAlign w:val="center"/>
          </w:tcPr>
          <w:p>
            <w:pPr>
              <w:jc w:val="center"/>
              <w:rPr>
                <w:szCs w:val="21"/>
              </w:rPr>
            </w:pPr>
            <w:r>
              <w:rPr>
                <w:szCs w:val="21"/>
              </w:rPr>
              <w:t>3.3.1</w:t>
            </w:r>
          </w:p>
        </w:tc>
        <w:tc>
          <w:tcPr>
            <w:tcW w:w="2248" w:type="dxa"/>
            <w:gridSpan w:val="2"/>
            <w:vAlign w:val="center"/>
          </w:tcPr>
          <w:p>
            <w:pPr>
              <w:jc w:val="center"/>
              <w:rPr>
                <w:szCs w:val="21"/>
              </w:rPr>
            </w:pPr>
            <w:r>
              <w:rPr>
                <w:szCs w:val="21"/>
              </w:rPr>
              <w:t>投标有效期</w:t>
            </w:r>
          </w:p>
        </w:tc>
        <w:tc>
          <w:tcPr>
            <w:tcW w:w="6193" w:type="dxa"/>
            <w:vAlign w:val="center"/>
          </w:tcPr>
          <w:p>
            <w:pPr>
              <w:ind w:firstLine="315" w:firstLineChars="150"/>
              <w:rPr>
                <w:szCs w:val="21"/>
              </w:rPr>
            </w:pPr>
            <w:r>
              <w:rPr>
                <w:rFonts w:hint="eastAsia" w:ascii="宋体" w:hAnsi="宋体"/>
                <w:szCs w:val="21"/>
              </w:rPr>
              <w:t>日历天（自投标截止之日起）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rPr>
                <w:szCs w:val="21"/>
              </w:rPr>
            </w:pPr>
            <w:r>
              <w:rPr>
                <w:szCs w:val="21"/>
              </w:rPr>
              <w:t>3.4.1</w:t>
            </w:r>
          </w:p>
        </w:tc>
        <w:tc>
          <w:tcPr>
            <w:tcW w:w="2248" w:type="dxa"/>
            <w:gridSpan w:val="2"/>
            <w:vAlign w:val="center"/>
          </w:tcPr>
          <w:p>
            <w:pPr>
              <w:jc w:val="center"/>
              <w:rPr>
                <w:szCs w:val="21"/>
              </w:rPr>
            </w:pPr>
            <w:r>
              <w:rPr>
                <w:szCs w:val="21"/>
              </w:rPr>
              <w:t>投标保证</w:t>
            </w:r>
          </w:p>
        </w:tc>
        <w:tc>
          <w:tcPr>
            <w:tcW w:w="6193" w:type="dxa"/>
            <w:vAlign w:val="center"/>
          </w:tcPr>
          <w:p>
            <w:pPr>
              <w:spacing w:line="288" w:lineRule="auto"/>
              <w:rPr>
                <w:rFonts w:ascii="宋体" w:hAnsi="宋体"/>
                <w:szCs w:val="21"/>
              </w:rPr>
            </w:pPr>
            <w:r>
              <w:rPr>
                <w:rFonts w:hint="eastAsia" w:ascii="宋体" w:hAnsi="宋体"/>
                <w:szCs w:val="21"/>
              </w:rPr>
              <w:t>一、投标人可以采用投标保证金、保险保函、银行保函</w:t>
            </w:r>
            <w:r>
              <w:rPr>
                <w:rFonts w:hint="eastAsia" w:ascii="宋体" w:hAnsi="宋体"/>
                <w:b/>
                <w:szCs w:val="21"/>
              </w:rPr>
              <w:t>、</w:t>
            </w:r>
            <w:r>
              <w:rPr>
                <w:rFonts w:hint="eastAsia" w:ascii="宋体" w:hAnsi="宋体"/>
                <w:b/>
                <w:color w:val="FF0000"/>
                <w:szCs w:val="21"/>
              </w:rPr>
              <w:t>担保公司保函</w:t>
            </w:r>
            <w:r>
              <w:rPr>
                <w:rFonts w:hint="eastAsia" w:ascii="宋体" w:hAnsi="宋体"/>
                <w:szCs w:val="21"/>
              </w:rPr>
              <w:t>任一形式作为投标保证。</w:t>
            </w:r>
          </w:p>
          <w:p>
            <w:pPr>
              <w:spacing w:line="288" w:lineRule="auto"/>
              <w:rPr>
                <w:rFonts w:ascii="宋体" w:hAnsi="宋体"/>
                <w:szCs w:val="21"/>
              </w:rPr>
            </w:pPr>
            <w:r>
              <w:rPr>
                <w:rFonts w:hint="eastAsia" w:ascii="宋体" w:hAnsi="宋体"/>
                <w:szCs w:val="21"/>
              </w:rPr>
              <w:t>二、投标保证数额</w:t>
            </w:r>
          </w:p>
          <w:p>
            <w:pPr>
              <w:spacing w:line="288" w:lineRule="auto"/>
              <w:rPr>
                <w:rFonts w:ascii="宋体" w:hAnsi="宋体"/>
                <w:szCs w:val="21"/>
              </w:rPr>
            </w:pPr>
            <w:r>
              <w:rPr>
                <w:rFonts w:hint="eastAsia" w:ascii="宋体" w:hAnsi="宋体"/>
                <w:szCs w:val="21"/>
              </w:rPr>
              <w:t>1、投标保证金数额：           （¥：        元）；</w:t>
            </w:r>
          </w:p>
          <w:p>
            <w:pPr>
              <w:spacing w:line="288" w:lineRule="auto"/>
              <w:rPr>
                <w:rFonts w:ascii="宋体" w:hAnsi="宋体"/>
                <w:szCs w:val="21"/>
              </w:rPr>
            </w:pPr>
            <w:r>
              <w:rPr>
                <w:rFonts w:hint="eastAsia" w:ascii="宋体" w:hAnsi="宋体"/>
                <w:szCs w:val="21"/>
              </w:rPr>
              <w:t>2、保险保函数额：           （¥：        元）；</w:t>
            </w:r>
          </w:p>
          <w:p>
            <w:pPr>
              <w:spacing w:line="288" w:lineRule="auto"/>
              <w:rPr>
                <w:rFonts w:ascii="宋体" w:hAnsi="宋体"/>
                <w:szCs w:val="21"/>
              </w:rPr>
            </w:pPr>
            <w:r>
              <w:rPr>
                <w:rFonts w:hint="eastAsia" w:ascii="宋体" w:hAnsi="宋体"/>
                <w:szCs w:val="21"/>
              </w:rPr>
              <w:t>3、银行保函数额：           （¥：        元）；</w:t>
            </w:r>
          </w:p>
          <w:p>
            <w:pPr>
              <w:spacing w:line="288" w:lineRule="auto"/>
              <w:rPr>
                <w:rFonts w:ascii="宋体" w:hAnsi="宋体"/>
                <w:b/>
                <w:szCs w:val="21"/>
              </w:rPr>
            </w:pPr>
            <w:r>
              <w:rPr>
                <w:rFonts w:hint="eastAsia" w:ascii="宋体" w:hAnsi="宋体"/>
                <w:b/>
                <w:szCs w:val="21"/>
              </w:rPr>
              <w:t>4</w:t>
            </w:r>
            <w:r>
              <w:rPr>
                <w:rFonts w:hint="eastAsia" w:ascii="宋体" w:hAnsi="宋体"/>
                <w:b/>
                <w:color w:val="FF0000"/>
                <w:szCs w:val="21"/>
              </w:rPr>
              <w:t xml:space="preserve">、担保公司保函数额：           （¥：  </w:t>
            </w:r>
            <w:r>
              <w:rPr>
                <w:rFonts w:hint="eastAsia" w:ascii="宋体" w:hAnsi="宋体"/>
                <w:b/>
                <w:szCs w:val="21"/>
              </w:rPr>
              <w:t xml:space="preserve">      元）。</w:t>
            </w:r>
          </w:p>
          <w:p>
            <w:pPr>
              <w:spacing w:line="288" w:lineRule="auto"/>
              <w:rPr>
                <w:rFonts w:ascii="宋体" w:hAnsi="宋体"/>
                <w:szCs w:val="21"/>
              </w:rPr>
            </w:pPr>
            <w:r>
              <w:rPr>
                <w:rFonts w:hint="eastAsia" w:ascii="宋体" w:hAnsi="宋体"/>
                <w:szCs w:val="21"/>
              </w:rPr>
              <w:t>三、1、采取投标保证金形式作为投标保证的：</w:t>
            </w:r>
          </w:p>
          <w:p>
            <w:pPr>
              <w:spacing w:line="288" w:lineRule="auto"/>
              <w:rPr>
                <w:rFonts w:ascii="宋体" w:hAnsi="宋体"/>
                <w:szCs w:val="21"/>
              </w:rPr>
            </w:pPr>
            <w:r>
              <w:rPr>
                <w:rFonts w:hint="eastAsia" w:ascii="宋体" w:hAnsi="宋体"/>
                <w:szCs w:val="21"/>
              </w:rPr>
              <w:t>投标人必须采取电汇或网上银行的方式交纳。投标保证金必须从投标人在市公共资源交易服务中心</w:t>
            </w:r>
            <w:r>
              <w:rPr>
                <w:rFonts w:hint="eastAsia" w:ascii="宋体" w:hAnsi="宋体"/>
                <w:b/>
                <w:color w:val="FF0000"/>
                <w:szCs w:val="21"/>
              </w:rPr>
              <w:t>登记</w:t>
            </w:r>
            <w:r>
              <w:rPr>
                <w:rFonts w:hint="eastAsia" w:ascii="宋体" w:hAnsi="宋体"/>
                <w:szCs w:val="21"/>
              </w:rPr>
              <w:t>的基本账户转出，不得以一般账户或分支机构等其他名义的账户提交，否则，其投标将被拒绝。</w:t>
            </w:r>
          </w:p>
          <w:p>
            <w:pPr>
              <w:spacing w:line="288" w:lineRule="auto"/>
              <w:rPr>
                <w:rFonts w:ascii="宋体" w:hAnsi="宋体"/>
                <w:szCs w:val="21"/>
              </w:rPr>
            </w:pPr>
            <w:r>
              <w:rPr>
                <w:rFonts w:hint="eastAsia" w:ascii="宋体" w:hAnsi="宋体"/>
                <w:szCs w:val="21"/>
              </w:rPr>
              <w:t>交纳投标保证金的截止时间（以到中心账户时间为准）：   年月   日  时  分前。</w:t>
            </w:r>
          </w:p>
          <w:p>
            <w:pPr>
              <w:spacing w:line="288" w:lineRule="auto"/>
              <w:rPr>
                <w:rFonts w:ascii="宋体" w:hAnsi="宋体"/>
                <w:szCs w:val="21"/>
              </w:rPr>
            </w:pPr>
            <w:r>
              <w:rPr>
                <w:rFonts w:hint="eastAsia" w:ascii="宋体" w:hAnsi="宋体"/>
                <w:szCs w:val="21"/>
              </w:rPr>
              <w:t>户名：济宁市公共资源交易服务中心</w:t>
            </w:r>
          </w:p>
          <w:p>
            <w:pPr>
              <w:spacing w:line="288" w:lineRule="auto"/>
              <w:rPr>
                <w:rFonts w:ascii="宋体" w:hAnsi="宋体"/>
                <w:szCs w:val="21"/>
              </w:rPr>
            </w:pPr>
            <w:r>
              <w:rPr>
                <w:rFonts w:hint="eastAsia" w:ascii="宋体" w:hAnsi="宋体"/>
                <w:szCs w:val="21"/>
              </w:rPr>
              <w:t>开户银行：济宁银行股份有限公司</w:t>
            </w:r>
          </w:p>
          <w:p>
            <w:pPr>
              <w:spacing w:line="288" w:lineRule="auto"/>
              <w:rPr>
                <w:rFonts w:ascii="宋体" w:hAnsi="宋体"/>
                <w:szCs w:val="21"/>
              </w:rPr>
            </w:pPr>
            <w:r>
              <w:rPr>
                <w:rFonts w:hint="eastAsia" w:ascii="宋体" w:hAnsi="宋体"/>
                <w:szCs w:val="21"/>
              </w:rPr>
              <w:t>账号：网上投标系统自动生成的账号（如划分标段，每个标段会产生一个账号，请按标段分别交纳）</w:t>
            </w:r>
          </w:p>
          <w:p>
            <w:pPr>
              <w:pStyle w:val="15"/>
              <w:rPr>
                <w:rFonts w:ascii="宋体" w:hAnsi="宋体"/>
                <w:szCs w:val="21"/>
              </w:rPr>
            </w:pPr>
            <w:r>
              <w:rPr>
                <w:rFonts w:hint="eastAsia" w:ascii="宋体" w:hAnsi="宋体"/>
                <w:szCs w:val="21"/>
              </w:rPr>
              <w:t>咨询电话：</w:t>
            </w:r>
            <w:r>
              <w:rPr>
                <w:rFonts w:hint="eastAsia"/>
              </w:rPr>
              <w:t>0537-7817011</w:t>
            </w:r>
            <w:r>
              <w:rPr>
                <w:rFonts w:hint="eastAsia" w:ascii="宋体" w:hAnsi="宋体"/>
                <w:szCs w:val="21"/>
              </w:rPr>
              <w:t>（财务）；4001012166转6（技术）</w:t>
            </w:r>
          </w:p>
          <w:p>
            <w:pPr>
              <w:spacing w:line="288" w:lineRule="auto"/>
              <w:rPr>
                <w:rFonts w:ascii="宋体" w:hAnsi="宋体"/>
                <w:szCs w:val="21"/>
              </w:rPr>
            </w:pPr>
            <w:r>
              <w:rPr>
                <w:rFonts w:hint="eastAsia" w:ascii="宋体" w:hAnsi="宋体"/>
                <w:szCs w:val="21"/>
              </w:rPr>
              <w:t>请各投标人注意：</w:t>
            </w:r>
          </w:p>
          <w:p>
            <w:pPr>
              <w:spacing w:line="288" w:lineRule="auto"/>
              <w:rPr>
                <w:rFonts w:ascii="宋体" w:hAnsi="宋体"/>
                <w:szCs w:val="21"/>
              </w:rPr>
            </w:pPr>
            <w:r>
              <w:rPr>
                <w:rFonts w:hint="eastAsia" w:ascii="宋体" w:hAnsi="宋体"/>
                <w:szCs w:val="21"/>
              </w:rPr>
              <w:t>①各银行办理业务及投标保证金划转到账需要一定时间，望各投标人尽早到银行办理汇款或通过网上银行进行交纳，投标保证金的交纳时间以到中心账户时间为准。</w:t>
            </w:r>
          </w:p>
          <w:p>
            <w:pPr>
              <w:spacing w:line="288" w:lineRule="auto"/>
              <w:rPr>
                <w:rFonts w:ascii="宋体" w:hAnsi="宋体"/>
                <w:szCs w:val="21"/>
              </w:rPr>
            </w:pPr>
            <w:r>
              <w:rPr>
                <w:rFonts w:hint="eastAsia" w:ascii="宋体" w:hAnsi="宋体"/>
                <w:szCs w:val="21"/>
              </w:rPr>
              <w:t>建议大额资金（五万元以上）在交纳投标保证金截止时间1个工作日前进行汇款，小额资金（五万元以下）在交纳投标保证金截止时间3个工作日前进行汇款或办理加急汇款。</w:t>
            </w:r>
          </w:p>
          <w:p>
            <w:pPr>
              <w:spacing w:line="288" w:lineRule="auto"/>
              <w:rPr>
                <w:rFonts w:ascii="宋体" w:hAnsi="宋体"/>
                <w:szCs w:val="21"/>
              </w:rPr>
            </w:pPr>
            <w:r>
              <w:rPr>
                <w:rFonts w:hint="eastAsia" w:ascii="宋体" w:hAnsi="宋体"/>
                <w:szCs w:val="21"/>
              </w:rPr>
              <w:t>②请各投标人将交纳投标保证金的银行凭证和网上投标系统自动生成的保证金账号妥善保管，以备应急使用。</w:t>
            </w:r>
          </w:p>
          <w:p>
            <w:pPr>
              <w:spacing w:line="288" w:lineRule="auto"/>
              <w:rPr>
                <w:rFonts w:ascii="宋体" w:hAnsi="宋体"/>
                <w:szCs w:val="21"/>
              </w:rPr>
            </w:pPr>
            <w:r>
              <w:rPr>
                <w:rFonts w:hint="eastAsia" w:ascii="宋体" w:hAnsi="宋体"/>
                <w:szCs w:val="21"/>
              </w:rPr>
              <w:t>2、采取保险保函、银行保函</w:t>
            </w:r>
            <w:r>
              <w:rPr>
                <w:rFonts w:hint="eastAsia" w:ascii="宋体" w:hAnsi="宋体"/>
                <w:b/>
                <w:szCs w:val="21"/>
              </w:rPr>
              <w:t>、</w:t>
            </w:r>
            <w:r>
              <w:rPr>
                <w:rFonts w:hint="eastAsia" w:ascii="宋体" w:hAnsi="宋体"/>
                <w:b/>
                <w:color w:val="FF0000"/>
                <w:szCs w:val="21"/>
              </w:rPr>
              <w:t>担保公司保函</w:t>
            </w:r>
            <w:r>
              <w:rPr>
                <w:rFonts w:hint="eastAsia" w:ascii="宋体" w:hAnsi="宋体"/>
                <w:szCs w:val="21"/>
              </w:rPr>
              <w:t>作为投标保证的：</w:t>
            </w:r>
          </w:p>
          <w:p>
            <w:pPr>
              <w:pStyle w:val="15"/>
            </w:pPr>
            <w:r>
              <w:rPr>
                <w:rFonts w:hint="eastAsia"/>
              </w:rPr>
              <w:t>①投标人通过济宁市公共资源交易保证金前置平台在线开具电子保函的，开具成功后，济宁市公共资源电子化交易系统自动读取电子保函数据，投标企业需将基本账户开户许可证扫描件和缴纳保费的回单截图上传至济宁市公共资源电子化交易系统中，扫描件应清晰可辨。</w:t>
            </w:r>
          </w:p>
          <w:p>
            <w:pPr>
              <w:pStyle w:val="15"/>
            </w:pPr>
            <w:r>
              <w:rPr>
                <w:rFonts w:hint="eastAsia"/>
              </w:rPr>
              <w:t>②开具纸质保函的，投标人应将投标人基本账户开户许可证扫描件、保函扫描件和缴纳保费的回单扫描件上传至济宁市公共资源电子化交易系统中，扫描件应清晰可辨。</w:t>
            </w:r>
          </w:p>
          <w:p>
            <w:pPr>
              <w:spacing w:line="288" w:lineRule="auto"/>
              <w:ind w:firstLine="420" w:firstLineChars="200"/>
              <w:rPr>
                <w:rFonts w:hint="eastAsia"/>
              </w:rPr>
            </w:pPr>
            <w:r>
              <w:rPr>
                <w:rFonts w:hint="eastAsia"/>
              </w:rPr>
              <w:t>③采用保险保函、银行保函、担保公司保函的，其保费必须从投标人在市公共资源交易服务中心登记的基本账户转出，不得以一般账户或分支机构等其他名义的账户转出，否则，其投标将被拒绝。</w:t>
            </w:r>
          </w:p>
          <w:p>
            <w:pPr>
              <w:spacing w:line="288" w:lineRule="auto"/>
              <w:ind w:firstLine="420" w:firstLineChars="200"/>
              <w:rPr>
                <w:rFonts w:ascii="宋体" w:hAnsi="宋体"/>
                <w:szCs w:val="21"/>
              </w:rPr>
            </w:pPr>
            <w:r>
              <w:rPr>
                <w:rFonts w:hint="eastAsia" w:ascii="宋体" w:hAnsi="宋体"/>
                <w:kern w:val="0"/>
                <w:szCs w:val="21"/>
              </w:rPr>
              <w:t>采取保险保函、银行保函、</w:t>
            </w:r>
            <w:r>
              <w:rPr>
                <w:rFonts w:hint="eastAsia" w:ascii="宋体" w:hAnsi="宋体"/>
                <w:b/>
                <w:color w:val="FF0000"/>
                <w:kern w:val="0"/>
                <w:szCs w:val="21"/>
              </w:rPr>
              <w:t>担保公司保函</w:t>
            </w:r>
            <w:r>
              <w:rPr>
                <w:rFonts w:hint="eastAsia" w:ascii="宋体" w:hAnsi="宋体"/>
                <w:kern w:val="0"/>
                <w:szCs w:val="21"/>
              </w:rPr>
              <w:t>作为投标保证的，按照《关于开展房屋建筑和市政工程投标保证保险工作的意见（试行）》（鲁建建管字〔2018〕11号）和其他</w:t>
            </w:r>
            <w:r>
              <w:rPr>
                <w:rFonts w:hint="eastAsia" w:ascii="宋体" w:hAnsi="宋体"/>
                <w:b/>
                <w:color w:val="FF0000"/>
                <w:kern w:val="0"/>
                <w:szCs w:val="21"/>
              </w:rPr>
              <w:t>相关规定</w:t>
            </w:r>
            <w:r>
              <w:rPr>
                <w:rFonts w:hint="eastAsia" w:ascii="宋体" w:hAnsi="宋体"/>
                <w:kern w:val="0"/>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pPr>
            <w:r>
              <w:rPr>
                <w:rFonts w:hint="eastAsia"/>
              </w:rPr>
              <w:t>3.5.2</w:t>
            </w:r>
          </w:p>
        </w:tc>
        <w:tc>
          <w:tcPr>
            <w:tcW w:w="2248" w:type="dxa"/>
            <w:gridSpan w:val="2"/>
            <w:vAlign w:val="center"/>
          </w:tcPr>
          <w:p>
            <w:pPr>
              <w:jc w:val="center"/>
            </w:pPr>
            <w:r>
              <w:rPr>
                <w:rFonts w:hint="eastAsia"/>
              </w:rPr>
              <w:t>近年财务状况的年份要求</w:t>
            </w:r>
          </w:p>
        </w:tc>
        <w:tc>
          <w:tcPr>
            <w:tcW w:w="6193" w:type="dxa"/>
            <w:vAlign w:val="center"/>
          </w:tcPr>
          <w:p>
            <w:pPr>
              <w:spacing w:line="288" w:lineRule="auto"/>
            </w:pPr>
            <w:r>
              <w:rPr>
                <w:rFonts w:hint="eastAsia"/>
              </w:rPr>
              <w:t>指</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日起至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spacing w:line="288" w:lineRule="auto"/>
              <w:ind w:firstLine="210" w:firstLineChars="100"/>
              <w:rPr>
                <w:rFonts w:ascii="宋体" w:hAnsi="宋体"/>
                <w:szCs w:val="21"/>
              </w:rPr>
            </w:pPr>
            <w:r>
              <w:rPr>
                <w:rFonts w:hint="eastAsia"/>
              </w:rPr>
              <w:t>3.5.3</w:t>
            </w:r>
          </w:p>
        </w:tc>
        <w:tc>
          <w:tcPr>
            <w:tcW w:w="2248" w:type="dxa"/>
            <w:gridSpan w:val="2"/>
            <w:vAlign w:val="center"/>
          </w:tcPr>
          <w:p>
            <w:pPr>
              <w:spacing w:line="288" w:lineRule="auto"/>
              <w:rPr>
                <w:rFonts w:ascii="宋体" w:hAnsi="宋体"/>
                <w:szCs w:val="21"/>
              </w:rPr>
            </w:pPr>
            <w:r>
              <w:rPr>
                <w:rFonts w:hint="eastAsia" w:ascii="宋体" w:hAnsi="宋体"/>
                <w:szCs w:val="21"/>
              </w:rPr>
              <w:t>近年完成的类似</w:t>
            </w:r>
          </w:p>
          <w:p>
            <w:pPr>
              <w:spacing w:line="288" w:lineRule="auto"/>
              <w:rPr>
                <w:rFonts w:ascii="宋体" w:hAnsi="宋体"/>
                <w:szCs w:val="21"/>
              </w:rPr>
            </w:pPr>
            <w:r>
              <w:rPr>
                <w:rFonts w:hint="eastAsia" w:ascii="宋体" w:hAnsi="宋体"/>
                <w:szCs w:val="21"/>
              </w:rPr>
              <w:t>项目的年份要求</w:t>
            </w:r>
          </w:p>
        </w:tc>
        <w:tc>
          <w:tcPr>
            <w:tcW w:w="6193" w:type="dxa"/>
            <w:vAlign w:val="center"/>
          </w:tcPr>
          <w:p>
            <w:pPr>
              <w:spacing w:line="288" w:lineRule="auto"/>
              <w:rPr>
                <w:rFonts w:ascii="宋体" w:hAnsi="宋体"/>
                <w:szCs w:val="21"/>
                <w:u w:val="single"/>
              </w:rPr>
            </w:pPr>
            <w:r>
              <w:rPr>
                <w:rFonts w:hint="eastAsia" w:ascii="宋体" w:hAnsi="宋体"/>
                <w:szCs w:val="21"/>
                <w:u w:val="single"/>
              </w:rPr>
              <w:t xml:space="preserve">     年  月  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pPr>
            <w:r>
              <w:rPr>
                <w:rFonts w:hint="eastAsia"/>
              </w:rPr>
              <w:t>3.5.5</w:t>
            </w:r>
          </w:p>
        </w:tc>
        <w:tc>
          <w:tcPr>
            <w:tcW w:w="2248" w:type="dxa"/>
            <w:gridSpan w:val="2"/>
            <w:vAlign w:val="center"/>
          </w:tcPr>
          <w:p>
            <w:pPr>
              <w:jc w:val="center"/>
            </w:pPr>
            <w:r>
              <w:rPr>
                <w:rFonts w:hint="eastAsia"/>
              </w:rPr>
              <w:t>近年发生的诉讼及</w:t>
            </w:r>
          </w:p>
          <w:p>
            <w:pPr>
              <w:jc w:val="center"/>
            </w:pPr>
            <w:r>
              <w:rPr>
                <w:rFonts w:hint="eastAsia"/>
              </w:rPr>
              <w:t>仲裁情况的年份要求</w:t>
            </w:r>
          </w:p>
        </w:tc>
        <w:tc>
          <w:tcPr>
            <w:tcW w:w="6193" w:type="dxa"/>
            <w:vAlign w:val="center"/>
          </w:tcPr>
          <w:p>
            <w:pPr>
              <w:spacing w:line="288" w:lineRule="auto"/>
              <w:rPr>
                <w:u w:val="single"/>
              </w:rPr>
            </w:pPr>
            <w:r>
              <w:rPr>
                <w:rFonts w:hint="eastAsia"/>
              </w:rPr>
              <w:t>指</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日起至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43" w:type="dxa"/>
            <w:vAlign w:val="center"/>
          </w:tcPr>
          <w:p>
            <w:pPr>
              <w:jc w:val="center"/>
              <w:rPr>
                <w:szCs w:val="21"/>
              </w:rPr>
            </w:pPr>
            <w:r>
              <w:rPr>
                <w:szCs w:val="21"/>
              </w:rPr>
              <w:t>3.6</w:t>
            </w:r>
          </w:p>
        </w:tc>
        <w:tc>
          <w:tcPr>
            <w:tcW w:w="2248" w:type="dxa"/>
            <w:gridSpan w:val="2"/>
            <w:vAlign w:val="center"/>
          </w:tcPr>
          <w:p>
            <w:pPr>
              <w:jc w:val="center"/>
              <w:rPr>
                <w:szCs w:val="21"/>
              </w:rPr>
            </w:pPr>
            <w:r>
              <w:rPr>
                <w:szCs w:val="21"/>
              </w:rPr>
              <w:t>是否允许递交备选      投标方案</w:t>
            </w:r>
          </w:p>
        </w:tc>
        <w:tc>
          <w:tcPr>
            <w:tcW w:w="6193" w:type="dxa"/>
            <w:vAlign w:val="center"/>
          </w:tcPr>
          <w:p>
            <w:pPr>
              <w:spacing w:line="288"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3" w:type="dxa"/>
            <w:vAlign w:val="center"/>
          </w:tcPr>
          <w:p>
            <w:pPr>
              <w:jc w:val="center"/>
              <w:rPr>
                <w:szCs w:val="21"/>
              </w:rPr>
            </w:pPr>
            <w:r>
              <w:rPr>
                <w:szCs w:val="21"/>
              </w:rPr>
              <w:t>3.7.</w:t>
            </w:r>
            <w:r>
              <w:rPr>
                <w:rFonts w:hint="eastAsia"/>
                <w:szCs w:val="21"/>
              </w:rPr>
              <w:t>3</w:t>
            </w:r>
          </w:p>
        </w:tc>
        <w:tc>
          <w:tcPr>
            <w:tcW w:w="2248" w:type="dxa"/>
            <w:gridSpan w:val="2"/>
            <w:vAlign w:val="center"/>
          </w:tcPr>
          <w:p>
            <w:pPr>
              <w:jc w:val="center"/>
              <w:rPr>
                <w:szCs w:val="21"/>
                <w:highlight w:val="yellow"/>
              </w:rPr>
            </w:pPr>
            <w:r>
              <w:rPr>
                <w:rFonts w:hint="eastAsia"/>
                <w:szCs w:val="21"/>
                <w:highlight w:val="yellow"/>
              </w:rPr>
              <w:t>电子投标文件电子签章要求</w:t>
            </w:r>
          </w:p>
        </w:tc>
        <w:tc>
          <w:tcPr>
            <w:tcW w:w="6193" w:type="dxa"/>
            <w:vAlign w:val="center"/>
          </w:tcPr>
          <w:p>
            <w:pPr>
              <w:spacing w:line="288" w:lineRule="auto"/>
              <w:ind w:firstLine="422" w:firstLineChars="200"/>
              <w:rPr>
                <w:b/>
                <w:szCs w:val="21"/>
                <w:highlight w:val="yellow"/>
              </w:rPr>
            </w:pPr>
            <w:r>
              <w:rPr>
                <w:rFonts w:hint="eastAsia"/>
                <w:b/>
                <w:szCs w:val="21"/>
                <w:highlight w:val="yellow"/>
              </w:rPr>
              <w:t>投标人必须且仅需在“投标文件格式”中封面规定的签章处加盖单位电子公章、法定代表人电子签名或盖章（视为对其提交的投标文件全部内容认可），否则，评标委员会将否决其投标。</w:t>
            </w:r>
          </w:p>
          <w:p>
            <w:pPr>
              <w:spacing w:line="288" w:lineRule="auto"/>
              <w:ind w:firstLine="422" w:firstLineChars="200"/>
              <w:rPr>
                <w:b/>
                <w:szCs w:val="21"/>
                <w:highlight w:val="yellow"/>
              </w:rPr>
            </w:pPr>
            <w:r>
              <w:rPr>
                <w:rFonts w:hint="eastAsia"/>
                <w:b/>
                <w:szCs w:val="21"/>
                <w:highlight w:val="yellow"/>
              </w:rPr>
              <w:t>注：接受联合体形式投标的项目，联合体各方按上述要求分别在封面进行电子签章，签章名称与联合体协议书中所列单位及法定代表人名称一致即可。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3" w:type="dxa"/>
            <w:vAlign w:val="center"/>
          </w:tcPr>
          <w:p>
            <w:pPr>
              <w:jc w:val="center"/>
              <w:rPr>
                <w:szCs w:val="21"/>
              </w:rPr>
            </w:pPr>
            <w:r>
              <w:rPr>
                <w:rFonts w:hint="eastAsia"/>
                <w:szCs w:val="21"/>
              </w:rPr>
              <w:t>3.7.4</w:t>
            </w:r>
          </w:p>
        </w:tc>
        <w:tc>
          <w:tcPr>
            <w:tcW w:w="2248" w:type="dxa"/>
            <w:gridSpan w:val="2"/>
            <w:vAlign w:val="center"/>
          </w:tcPr>
          <w:p>
            <w:pPr>
              <w:jc w:val="center"/>
              <w:rPr>
                <w:rFonts w:ascii="宋体" w:hAnsi="宋体"/>
                <w:b/>
              </w:rPr>
            </w:pPr>
            <w:r>
              <w:rPr>
                <w:rFonts w:hint="eastAsia" w:ascii="宋体" w:hAnsi="宋体"/>
                <w:b/>
              </w:rPr>
              <w:t>电子投标文件</w:t>
            </w:r>
          </w:p>
        </w:tc>
        <w:tc>
          <w:tcPr>
            <w:tcW w:w="6193" w:type="dxa"/>
            <w:vAlign w:val="center"/>
          </w:tcPr>
          <w:p>
            <w:pPr>
              <w:spacing w:line="360" w:lineRule="exact"/>
              <w:ind w:firstLine="420" w:firstLineChars="200"/>
              <w:rPr>
                <w:rFonts w:ascii="宋体" w:hAnsi="宋体"/>
                <w:bCs/>
                <w:szCs w:val="21"/>
              </w:rPr>
            </w:pPr>
            <w:r>
              <w:rPr>
                <w:rFonts w:hint="eastAsia" w:ascii="宋体" w:hAnsi="宋体"/>
                <w:bCs/>
                <w:szCs w:val="21"/>
              </w:rPr>
              <w:t>1、本项目使用计算机辅助评标。</w:t>
            </w:r>
          </w:p>
          <w:p>
            <w:pPr>
              <w:pStyle w:val="15"/>
              <w:spacing w:line="360" w:lineRule="exact"/>
              <w:ind w:firstLine="420" w:firstLineChars="200"/>
              <w:rPr>
                <w:rFonts w:ascii="宋体" w:hAnsi="宋体"/>
                <w:bCs/>
                <w:szCs w:val="21"/>
              </w:rPr>
            </w:pPr>
            <w:r>
              <w:rPr>
                <w:rFonts w:hint="eastAsia" w:ascii="宋体" w:hAnsi="宋体"/>
                <w:bCs/>
                <w:szCs w:val="21"/>
              </w:rPr>
              <w:t>2、为保证电子投标文件的法律效力和数据的准确性，使电子投标文件能够顺利导入计算机辅助评标系统，</w:t>
            </w:r>
            <w:r>
              <w:rPr>
                <w:rFonts w:hint="eastAsia"/>
                <w:highlight w:val="yellow"/>
              </w:rPr>
              <w:t>投标人须使用建设工程电子化运行管理系统的“标书编制软件”</w:t>
            </w:r>
            <w:r>
              <w:rPr>
                <w:rFonts w:hint="eastAsia" w:ascii="宋体" w:hAnsi="宋体"/>
                <w:highlight w:val="yellow"/>
              </w:rPr>
              <w:t>（</w:t>
            </w:r>
            <w:r>
              <w:rPr>
                <w:rFonts w:hint="eastAsia" w:ascii="宋体" w:hAnsi="宋体"/>
                <w:b/>
                <w:highlight w:val="yellow"/>
                <w:u w:val="single"/>
              </w:rPr>
              <w:t>投标人在办理企业网上注册手续时领取</w:t>
            </w:r>
            <w:r>
              <w:rPr>
                <w:rFonts w:hint="eastAsia" w:ascii="宋体" w:hAnsi="宋体"/>
                <w:highlight w:val="yellow"/>
              </w:rPr>
              <w:t>）</w:t>
            </w:r>
            <w:r>
              <w:rPr>
                <w:rFonts w:hint="eastAsia"/>
                <w:highlight w:val="yellow"/>
              </w:rPr>
              <w:t>编制电子投标文件</w:t>
            </w:r>
            <w:r>
              <w:rPr>
                <w:rFonts w:hint="eastAsia" w:ascii="宋体" w:hAnsi="宋体"/>
                <w:bCs/>
                <w:szCs w:val="21"/>
              </w:rPr>
              <w:t>；投标人须在提交投标文件截止时间前将电子投标文件加密上传到建设工程招标投标电子运行管理系统 （以上传完成时间为准），超过投标截止时间未完成上传的电子投标文件，将拒绝其投标；开标时投标人须登录济宁市不见面开标系统通过系统自行解密，因投标人自身原因导致其电子投标文件无法解密，其投标文件将被拒绝。</w:t>
            </w:r>
          </w:p>
          <w:p>
            <w:pPr>
              <w:spacing w:line="360" w:lineRule="exact"/>
              <w:ind w:firstLine="422" w:firstLineChars="200"/>
              <w:rPr>
                <w:rFonts w:ascii="宋体" w:hAnsi="宋体"/>
                <w:b/>
                <w:bCs/>
                <w:color w:val="FF0000"/>
                <w:szCs w:val="21"/>
                <w:u w:val="single"/>
              </w:rPr>
            </w:pPr>
            <w:r>
              <w:rPr>
                <w:rFonts w:hint="eastAsia" w:ascii="宋体" w:hAnsi="宋体"/>
                <w:b/>
                <w:bCs/>
                <w:color w:val="FF0000"/>
                <w:szCs w:val="21"/>
                <w:u w:val="single"/>
              </w:rPr>
              <w:t>3、</w:t>
            </w:r>
            <w:r>
              <w:rPr>
                <w:b/>
                <w:bCs/>
                <w:color w:val="FF0000"/>
                <w:szCs w:val="21"/>
                <w:u w:val="single"/>
              </w:rPr>
              <w:t>请各投标人按照电子招标文件中的“投标文件组成设置”，按节点分别导入相应电子投标文件内容，生成正式电子投标文件并上传。因投标人不按设置的节点上传电子投标文件，导致评标委员会无法正常评审的，相应部分不予计分。</w:t>
            </w:r>
          </w:p>
          <w:p>
            <w:pPr>
              <w:spacing w:line="288" w:lineRule="auto"/>
              <w:ind w:firstLine="420" w:firstLineChars="200"/>
              <w:rPr>
                <w:rFonts w:ascii="宋体" w:hAnsi="宋体" w:cs="宋体"/>
                <w:kern w:val="0"/>
                <w:szCs w:val="21"/>
              </w:rPr>
            </w:pPr>
            <w:r>
              <w:rPr>
                <w:rFonts w:hint="eastAsia" w:ascii="宋体" w:hAnsi="宋体"/>
                <w:bCs/>
                <w:szCs w:val="21"/>
              </w:rPr>
              <w:t>4、</w:t>
            </w:r>
            <w:r>
              <w:rPr>
                <w:rFonts w:hint="eastAsia" w:ascii="宋体" w:hAnsi="宋体" w:cs="宋体"/>
                <w:kern w:val="0"/>
                <w:szCs w:val="21"/>
                <w:highlight w:val="yellow"/>
              </w:rPr>
              <w:t>网络操作咨询电话（电子信息部）：4001012166转6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43" w:type="dxa"/>
            <w:vAlign w:val="center"/>
          </w:tcPr>
          <w:p>
            <w:pPr>
              <w:jc w:val="center"/>
              <w:rPr>
                <w:szCs w:val="21"/>
              </w:rPr>
            </w:pPr>
            <w:r>
              <w:rPr>
                <w:rFonts w:hint="eastAsia"/>
                <w:szCs w:val="21"/>
              </w:rPr>
              <w:t>4.1</w:t>
            </w:r>
          </w:p>
        </w:tc>
        <w:tc>
          <w:tcPr>
            <w:tcW w:w="2248" w:type="dxa"/>
            <w:gridSpan w:val="2"/>
            <w:vAlign w:val="center"/>
          </w:tcPr>
          <w:p>
            <w:pPr>
              <w:jc w:val="center"/>
              <w:rPr>
                <w:szCs w:val="21"/>
              </w:rPr>
            </w:pPr>
            <w:r>
              <w:rPr>
                <w:rFonts w:hint="eastAsia"/>
                <w:szCs w:val="21"/>
              </w:rPr>
              <w:t>提交投标文件的时间、方式</w:t>
            </w:r>
          </w:p>
        </w:tc>
        <w:tc>
          <w:tcPr>
            <w:tcW w:w="6193" w:type="dxa"/>
            <w:vAlign w:val="center"/>
          </w:tcPr>
          <w:p>
            <w:pPr>
              <w:spacing w:line="288" w:lineRule="auto"/>
              <w:ind w:firstLine="422" w:firstLineChars="200"/>
              <w:jc w:val="left"/>
              <w:rPr>
                <w:rFonts w:ascii="宋体" w:hAnsi="宋体"/>
                <w:b/>
                <w:color w:val="FF0000"/>
                <w:szCs w:val="21"/>
                <w:u w:val="single"/>
              </w:rPr>
            </w:pPr>
            <w:r>
              <w:rPr>
                <w:rFonts w:hint="eastAsia" w:ascii="宋体" w:hAnsi="宋体"/>
                <w:b/>
                <w:color w:val="FF0000"/>
                <w:szCs w:val="21"/>
                <w:u w:val="single"/>
              </w:rPr>
              <w:t xml:space="preserve">时间：    </w:t>
            </w:r>
            <w:r>
              <w:rPr>
                <w:rFonts w:ascii="宋体" w:hAnsi="宋体"/>
                <w:b/>
                <w:color w:val="FF0000"/>
                <w:szCs w:val="21"/>
                <w:u w:val="single"/>
              </w:rPr>
              <w:t>年  月  日时</w:t>
            </w:r>
            <w:r>
              <w:rPr>
                <w:rFonts w:hint="eastAsia" w:ascii="宋体" w:hAnsi="宋体"/>
                <w:b/>
                <w:color w:val="FF0000"/>
                <w:szCs w:val="21"/>
                <w:u w:val="single"/>
              </w:rPr>
              <w:t xml:space="preserve">  分前</w:t>
            </w:r>
          </w:p>
          <w:p>
            <w:pPr>
              <w:ind w:firstLine="422" w:firstLineChars="200"/>
              <w:rPr>
                <w:szCs w:val="21"/>
              </w:rPr>
            </w:pPr>
            <w:r>
              <w:rPr>
                <w:rFonts w:hint="eastAsia"/>
                <w:b/>
                <w:bCs/>
                <w:szCs w:val="21"/>
              </w:rPr>
              <w:t>方式：投标人须在规定的提交投标文件时间内将电子投标文件按规定上传到建设工程招标投标电子运行管理系统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43" w:type="dxa"/>
            <w:vAlign w:val="center"/>
          </w:tcPr>
          <w:p>
            <w:pPr>
              <w:jc w:val="center"/>
              <w:rPr>
                <w:szCs w:val="21"/>
              </w:rPr>
            </w:pPr>
            <w:r>
              <w:rPr>
                <w:szCs w:val="21"/>
              </w:rPr>
              <w:t>4.</w:t>
            </w:r>
            <w:r>
              <w:rPr>
                <w:rFonts w:hint="eastAsia"/>
                <w:szCs w:val="21"/>
              </w:rPr>
              <w:t>1</w:t>
            </w:r>
          </w:p>
        </w:tc>
        <w:tc>
          <w:tcPr>
            <w:tcW w:w="2248" w:type="dxa"/>
            <w:gridSpan w:val="2"/>
            <w:vAlign w:val="center"/>
          </w:tcPr>
          <w:p>
            <w:pPr>
              <w:jc w:val="center"/>
              <w:rPr>
                <w:szCs w:val="21"/>
              </w:rPr>
            </w:pPr>
            <w:r>
              <w:rPr>
                <w:szCs w:val="21"/>
              </w:rPr>
              <w:t>是否退还投标文件</w:t>
            </w:r>
          </w:p>
        </w:tc>
        <w:tc>
          <w:tcPr>
            <w:tcW w:w="6193" w:type="dxa"/>
            <w:vAlign w:val="center"/>
          </w:tcPr>
          <w:p>
            <w:pPr>
              <w:ind w:firstLine="420" w:firstLineChars="200"/>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rPr>
                <w:szCs w:val="21"/>
              </w:rPr>
            </w:pPr>
            <w:r>
              <w:rPr>
                <w:rFonts w:hint="eastAsia"/>
                <w:szCs w:val="21"/>
              </w:rPr>
              <w:t>5.1</w:t>
            </w:r>
          </w:p>
        </w:tc>
        <w:tc>
          <w:tcPr>
            <w:tcW w:w="2248" w:type="dxa"/>
            <w:gridSpan w:val="2"/>
            <w:vAlign w:val="center"/>
          </w:tcPr>
          <w:p>
            <w:pPr>
              <w:jc w:val="center"/>
              <w:rPr>
                <w:szCs w:val="21"/>
              </w:rPr>
            </w:pPr>
            <w:r>
              <w:rPr>
                <w:rFonts w:hint="eastAsia"/>
                <w:szCs w:val="21"/>
              </w:rPr>
              <w:t>开标时间、方式</w:t>
            </w:r>
          </w:p>
        </w:tc>
        <w:tc>
          <w:tcPr>
            <w:tcW w:w="6193" w:type="dxa"/>
            <w:vAlign w:val="center"/>
          </w:tcPr>
          <w:p>
            <w:pPr>
              <w:spacing w:line="288" w:lineRule="auto"/>
              <w:ind w:firstLine="422" w:firstLineChars="200"/>
              <w:jc w:val="left"/>
              <w:rPr>
                <w:rFonts w:ascii="宋体" w:hAnsi="宋体"/>
                <w:b/>
                <w:color w:val="FF0000"/>
                <w:szCs w:val="21"/>
                <w:u w:val="single"/>
              </w:rPr>
            </w:pPr>
            <w:r>
              <w:rPr>
                <w:rFonts w:hint="eastAsia" w:ascii="宋体" w:hAnsi="宋体"/>
                <w:b/>
                <w:color w:val="FF0000"/>
                <w:szCs w:val="21"/>
                <w:u w:val="single"/>
              </w:rPr>
              <w:t xml:space="preserve">时间：    </w:t>
            </w:r>
            <w:r>
              <w:rPr>
                <w:rFonts w:ascii="宋体" w:hAnsi="宋体"/>
                <w:b/>
                <w:color w:val="FF0000"/>
                <w:szCs w:val="21"/>
                <w:u w:val="single"/>
              </w:rPr>
              <w:t>年  月  日时</w:t>
            </w:r>
            <w:r>
              <w:rPr>
                <w:rFonts w:hint="eastAsia" w:ascii="宋体" w:hAnsi="宋体"/>
                <w:b/>
                <w:color w:val="FF0000"/>
                <w:szCs w:val="21"/>
                <w:u w:val="single"/>
              </w:rPr>
              <w:t xml:space="preserve">  分</w:t>
            </w:r>
          </w:p>
          <w:p>
            <w:pPr>
              <w:ind w:firstLine="422" w:firstLineChars="200"/>
              <w:rPr>
                <w:b/>
                <w:bCs/>
                <w:szCs w:val="21"/>
              </w:rPr>
            </w:pPr>
            <w:r>
              <w:rPr>
                <w:rFonts w:hint="eastAsia"/>
                <w:b/>
                <w:bCs/>
                <w:szCs w:val="21"/>
              </w:rPr>
              <w:t>方式:本项目不见面开标系统位置为：济宁市公共资源交易网首页—济宁市不见面开标大厅。投标人自行选择任意地点登入不见面开标系统参加远程开标会。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43" w:type="dxa"/>
            <w:vMerge w:val="restart"/>
            <w:vAlign w:val="center"/>
          </w:tcPr>
          <w:p>
            <w:pPr>
              <w:jc w:val="center"/>
              <w:rPr>
                <w:szCs w:val="21"/>
              </w:rPr>
            </w:pPr>
            <w:r>
              <w:rPr>
                <w:rFonts w:hint="eastAsia"/>
                <w:szCs w:val="21"/>
              </w:rPr>
              <w:t>5.2</w:t>
            </w:r>
          </w:p>
        </w:tc>
        <w:tc>
          <w:tcPr>
            <w:tcW w:w="2248" w:type="dxa"/>
            <w:gridSpan w:val="2"/>
            <w:vAlign w:val="center"/>
          </w:tcPr>
          <w:p>
            <w:pPr>
              <w:jc w:val="center"/>
              <w:rPr>
                <w:szCs w:val="21"/>
              </w:rPr>
            </w:pPr>
            <w:r>
              <w:rPr>
                <w:rFonts w:hint="eastAsia"/>
                <w:b/>
                <w:szCs w:val="21"/>
              </w:rPr>
              <w:t>电子唱标</w:t>
            </w:r>
          </w:p>
        </w:tc>
        <w:tc>
          <w:tcPr>
            <w:tcW w:w="6193" w:type="dxa"/>
            <w:vAlign w:val="center"/>
          </w:tcPr>
          <w:p>
            <w:pPr>
              <w:ind w:firstLine="420" w:firstLineChars="200"/>
              <w:rPr>
                <w:bCs/>
                <w:szCs w:val="21"/>
              </w:rPr>
            </w:pPr>
            <w:r>
              <w:rPr>
                <w:rFonts w:hint="eastAsia" w:ascii="宋体" w:hAnsi="宋体"/>
                <w:bCs/>
              </w:rPr>
              <w:t>投标人应通过招标投标电子运行管理系统按照电子投标文件内容填写电子唱标单，电子唱标单和电子投标文件有关内容应当一致，不一致的以电子投标文件内容为准。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043" w:type="dxa"/>
            <w:vMerge w:val="continue"/>
            <w:vAlign w:val="center"/>
          </w:tcPr>
          <w:p>
            <w:pPr>
              <w:jc w:val="center"/>
              <w:rPr>
                <w:szCs w:val="21"/>
              </w:rPr>
            </w:pPr>
          </w:p>
        </w:tc>
        <w:tc>
          <w:tcPr>
            <w:tcW w:w="2248" w:type="dxa"/>
            <w:gridSpan w:val="2"/>
            <w:vAlign w:val="center"/>
          </w:tcPr>
          <w:p>
            <w:pPr>
              <w:jc w:val="center"/>
              <w:rPr>
                <w:szCs w:val="21"/>
                <w:highlight w:val="yellow"/>
              </w:rPr>
            </w:pPr>
            <w:r>
              <w:rPr>
                <w:rFonts w:hint="eastAsia" w:ascii="宋体" w:hAnsi="宋体"/>
                <w:szCs w:val="21"/>
                <w:highlight w:val="yellow"/>
              </w:rPr>
              <w:t>投标企业及人员证件业绩的提交</w:t>
            </w:r>
          </w:p>
        </w:tc>
        <w:tc>
          <w:tcPr>
            <w:tcW w:w="6193" w:type="dxa"/>
            <w:vAlign w:val="center"/>
          </w:tcPr>
          <w:p>
            <w:pPr>
              <w:spacing w:line="392" w:lineRule="exact"/>
              <w:rPr>
                <w:szCs w:val="21"/>
              </w:rPr>
            </w:pPr>
            <w:r>
              <w:rPr>
                <w:rFonts w:hint="eastAsia"/>
                <w:szCs w:val="21"/>
                <w:highlight w:val="yellow"/>
              </w:rPr>
              <w:t>1、投标人应在投标截止时间前将企业及人员相关证件业绩信息录入企业信息库（信息库中已录入的信息不需再重复录入，具体操作详见《济宁市公共资源交易建设工程企业信息库录入说明》</w:t>
            </w:r>
            <w:r>
              <w:fldChar w:fldCharType="begin"/>
            </w:r>
            <w:r>
              <w:instrText xml:space="preserve"> HYPERLINK "http://ggzy.jining.gov.cn/JiNing/Posts?CategoryCode=370800004" </w:instrText>
            </w:r>
            <w:r>
              <w:fldChar w:fldCharType="separate"/>
            </w:r>
            <w:r>
              <w:rPr>
                <w:rStyle w:val="50"/>
                <w:szCs w:val="21"/>
              </w:rPr>
              <w:t>http://ggzy.jining.gov.cn/JiNing/Posts?CategoryCode=370800004</w:t>
            </w:r>
            <w:r>
              <w:rPr>
                <w:rStyle w:val="50"/>
                <w:szCs w:val="21"/>
              </w:rPr>
              <w:fldChar w:fldCharType="end"/>
            </w:r>
            <w:r>
              <w:rPr>
                <w:rFonts w:hint="eastAsia"/>
                <w:szCs w:val="21"/>
                <w:highlight w:val="yellow"/>
              </w:rPr>
              <w:t>），并在上传电子投标文件时将企业及人员相关证件业绩的电子扫描件通过企业信息库设置至建设工程招标投标电子运行管理系统的“投标企业及人员证件业绩扫描件设置模块”，具体要求详见济宁市公共资源交易网《投标企业及人员证书资料扫描件设置操作说明》</w:t>
            </w:r>
            <w:r>
              <w:fldChar w:fldCharType="begin"/>
            </w:r>
            <w:r>
              <w:instrText xml:space="preserve"> HYPERLINK "http://ggzy.jining.gov.cn/JiNing/Posts?CategoryCode=370800004" </w:instrText>
            </w:r>
            <w:r>
              <w:fldChar w:fldCharType="separate"/>
            </w:r>
            <w:r>
              <w:rPr>
                <w:rStyle w:val="50"/>
                <w:szCs w:val="21"/>
              </w:rPr>
              <w:t>http://ggzy.jining.gov.cn/JiNing/Posts?CategoryCode=370800004</w:t>
            </w:r>
            <w:r>
              <w:rPr>
                <w:rStyle w:val="50"/>
                <w:szCs w:val="21"/>
              </w:rPr>
              <w:fldChar w:fldCharType="end"/>
            </w:r>
          </w:p>
          <w:p>
            <w:pPr>
              <w:pStyle w:val="15"/>
              <w:spacing w:line="360" w:lineRule="exact"/>
              <w:ind w:firstLine="420"/>
              <w:rPr>
                <w:rStyle w:val="124"/>
                <w:rFonts w:ascii="宋体" w:hAnsi="宋体" w:cs="宋体"/>
              </w:rPr>
            </w:pPr>
            <w:r>
              <w:rPr>
                <w:rFonts w:hint="eastAsia"/>
                <w:szCs w:val="21"/>
                <w:highlight w:val="yellow"/>
              </w:rPr>
              <w:t>）。评标委员会通过该模块验证相关电子扫描件。评标委员会通过该模块验证相关电子扫描件并在中标公示时对外公布。</w:t>
            </w:r>
            <w:r>
              <w:rPr>
                <w:rStyle w:val="124"/>
                <w:rFonts w:hint="eastAsia" w:ascii="宋体" w:hAnsi="宋体" w:cs="宋体"/>
                <w:lang w:val="zh-TW" w:eastAsia="zh-TW"/>
              </w:rPr>
              <w:t>电子投标文件中的企业业绩及人员证书扫描件应与模块设置内容保持一致，不一致的以模块设置内容为准。</w:t>
            </w:r>
          </w:p>
          <w:p>
            <w:pPr>
              <w:spacing w:line="392" w:lineRule="exact"/>
              <w:rPr>
                <w:szCs w:val="21"/>
                <w:highlight w:val="yellow"/>
              </w:rPr>
            </w:pPr>
            <w:r>
              <w:rPr>
                <w:rFonts w:hint="eastAsia"/>
                <w:szCs w:val="21"/>
                <w:highlight w:val="yellow"/>
              </w:rPr>
              <w:t>对上传的企业及人员相关证件业绩的电子扫描件应清晰、关键页面齐全，否则后果由投标人自负。</w:t>
            </w:r>
          </w:p>
          <w:p>
            <w:pPr>
              <w:pStyle w:val="15"/>
              <w:rPr>
                <w:szCs w:val="21"/>
                <w:highlight w:val="yellow"/>
              </w:rPr>
            </w:pPr>
            <w:r>
              <w:rPr>
                <w:rFonts w:hint="eastAsia"/>
                <w:szCs w:val="21"/>
                <w:highlight w:val="yellow"/>
              </w:rPr>
              <w:t>咨询电话：0537-7817022</w:t>
            </w:r>
            <w:r>
              <w:rPr>
                <w:rFonts w:hint="eastAsia"/>
                <w:szCs w:val="21"/>
                <w:highlight w:val="yellow"/>
              </w:rPr>
              <w:t>（业务）；4001012166转6（技术）</w:t>
            </w:r>
          </w:p>
          <w:p>
            <w:pPr>
              <w:spacing w:line="392" w:lineRule="exact"/>
              <w:ind w:firstLine="420" w:firstLineChars="200"/>
              <w:rPr>
                <w:szCs w:val="21"/>
                <w:highlight w:val="yellow"/>
              </w:rPr>
            </w:pPr>
            <w:r>
              <w:rPr>
                <w:rFonts w:hint="eastAsia"/>
                <w:szCs w:val="21"/>
                <w:highlight w:val="yellow"/>
              </w:rPr>
              <w:t>3、投标人录入的所有证件均应真实有效，如有虚假，评标委员会将否决其投标，并提交主管部门依法予以处理。</w:t>
            </w:r>
          </w:p>
          <w:p>
            <w:pPr>
              <w:ind w:firstLine="422" w:firstLineChars="200"/>
              <w:rPr>
                <w:b/>
                <w:szCs w:val="21"/>
                <w:highlight w:val="yellow"/>
              </w:rPr>
            </w:pPr>
            <w:r>
              <w:rPr>
                <w:rFonts w:hint="eastAsia"/>
                <w:b/>
                <w:szCs w:val="21"/>
                <w:highlight w:val="yellow"/>
              </w:rPr>
              <w:t>注：</w:t>
            </w:r>
            <w:r>
              <w:rPr>
                <w:rFonts w:hint="eastAsia"/>
                <w:b/>
                <w:color w:val="FF0000"/>
                <w:szCs w:val="21"/>
                <w:highlight w:val="yellow"/>
              </w:rPr>
              <w:t>招标文件中涉及到的需要提供的证件，包括：企业营业执照、资质证书、执业资格注册证书、安全生产考核合格证书（B证）、安全员证书（C证）、职称证书、关键岗位证书等，均可录入原件的扫描件或电子证书打印件的扫描件（打印件上注明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43" w:type="dxa"/>
            <w:vMerge w:val="continue"/>
            <w:vAlign w:val="center"/>
          </w:tcPr>
          <w:p>
            <w:pPr>
              <w:jc w:val="center"/>
              <w:rPr>
                <w:szCs w:val="21"/>
              </w:rPr>
            </w:pPr>
          </w:p>
        </w:tc>
        <w:tc>
          <w:tcPr>
            <w:tcW w:w="2248" w:type="dxa"/>
            <w:gridSpan w:val="2"/>
            <w:vAlign w:val="center"/>
          </w:tcPr>
          <w:p>
            <w:pPr>
              <w:jc w:val="center"/>
              <w:rPr>
                <w:szCs w:val="21"/>
              </w:rPr>
            </w:pPr>
            <w:r>
              <w:rPr>
                <w:rFonts w:hint="eastAsia"/>
                <w:szCs w:val="21"/>
              </w:rPr>
              <w:t>开标组织形式</w:t>
            </w:r>
          </w:p>
        </w:tc>
        <w:tc>
          <w:tcPr>
            <w:tcW w:w="6193" w:type="dxa"/>
            <w:vAlign w:val="center"/>
          </w:tcPr>
          <w:p>
            <w:pPr>
              <w:widowControl/>
              <w:jc w:val="left"/>
              <w:rPr>
                <w:rFonts w:ascii="宋体" w:hAnsi="宋体" w:cs="宋体"/>
                <w:kern w:val="0"/>
                <w:sz w:val="24"/>
              </w:rPr>
            </w:pPr>
            <w:r>
              <w:rPr>
                <w:rFonts w:hint="eastAsia"/>
                <w:b/>
                <w:bCs/>
                <w:szCs w:val="21"/>
              </w:rPr>
              <w:t xml:space="preserve">本项目采用不见面开标系统开标，投标人无需到达交易中心。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43" w:type="dxa"/>
            <w:vAlign w:val="center"/>
          </w:tcPr>
          <w:p>
            <w:pPr>
              <w:jc w:val="center"/>
              <w:rPr>
                <w:szCs w:val="21"/>
              </w:rPr>
            </w:pPr>
            <w:r>
              <w:rPr>
                <w:rFonts w:hint="eastAsia"/>
                <w:szCs w:val="21"/>
              </w:rPr>
              <w:t>6.5.1</w:t>
            </w:r>
          </w:p>
        </w:tc>
        <w:tc>
          <w:tcPr>
            <w:tcW w:w="2248" w:type="dxa"/>
            <w:gridSpan w:val="2"/>
            <w:vAlign w:val="center"/>
          </w:tcPr>
          <w:p>
            <w:pPr>
              <w:jc w:val="center"/>
              <w:rPr>
                <w:szCs w:val="21"/>
              </w:rPr>
            </w:pPr>
            <w:r>
              <w:rPr>
                <w:rFonts w:hint="eastAsia"/>
                <w:szCs w:val="21"/>
              </w:rPr>
              <w:t>评标方法</w:t>
            </w:r>
          </w:p>
        </w:tc>
        <w:tc>
          <w:tcPr>
            <w:tcW w:w="6193" w:type="dxa"/>
            <w:vAlign w:val="center"/>
          </w:tcPr>
          <w:p>
            <w:pPr>
              <w:ind w:firstLine="420" w:firstLineChars="200"/>
              <w:rPr>
                <w:rFonts w:ascii="宋体" w:hAnsi="宋体"/>
                <w:bCs/>
              </w:rPr>
            </w:pPr>
            <w:r>
              <w:rPr>
                <w:rFonts w:hint="eastAsia" w:ascii="宋体" w:hAnsi="宋体"/>
                <w:bCs/>
              </w:rPr>
              <w:t>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rPr>
                <w:szCs w:val="21"/>
              </w:rPr>
            </w:pPr>
            <w:r>
              <w:rPr>
                <w:szCs w:val="21"/>
              </w:rPr>
              <w:t>7.3</w:t>
            </w:r>
          </w:p>
        </w:tc>
        <w:tc>
          <w:tcPr>
            <w:tcW w:w="2248" w:type="dxa"/>
            <w:gridSpan w:val="2"/>
            <w:vAlign w:val="center"/>
          </w:tcPr>
          <w:p>
            <w:pPr>
              <w:jc w:val="center"/>
              <w:rPr>
                <w:szCs w:val="21"/>
              </w:rPr>
            </w:pPr>
            <w:r>
              <w:rPr>
                <w:szCs w:val="21"/>
              </w:rPr>
              <w:t>履约</w:t>
            </w:r>
            <w:r>
              <w:rPr>
                <w:rFonts w:hint="eastAsia"/>
                <w:szCs w:val="21"/>
              </w:rPr>
              <w:t>担保</w:t>
            </w:r>
          </w:p>
        </w:tc>
        <w:tc>
          <w:tcPr>
            <w:tcW w:w="6193" w:type="dxa"/>
            <w:vAlign w:val="center"/>
          </w:tcPr>
          <w:p>
            <w:pPr>
              <w:rPr>
                <w:color w:val="FF0000"/>
                <w:sz w:val="24"/>
                <w:highlight w:val="cyan"/>
              </w:rPr>
            </w:pPr>
            <w:r>
              <w:rPr>
                <w:rFonts w:hint="eastAsia"/>
                <w:color w:val="FF0000"/>
                <w:sz w:val="24"/>
                <w:highlight w:val="cyan"/>
              </w:rPr>
              <w:t>（招标人根据实际确定是否设置本条款）</w:t>
            </w:r>
          </w:p>
          <w:p>
            <w:pPr>
              <w:pStyle w:val="15"/>
              <w:ind w:firstLine="482" w:firstLineChars="200"/>
              <w:rPr>
                <w:rFonts w:hint="default" w:asciiTheme="minorEastAsia" w:hAnsiTheme="minorEastAsia" w:eastAsiaTheme="minorEastAsia" w:cstheme="minorEastAsia"/>
                <w:color w:val="auto"/>
                <w:kern w:val="2"/>
                <w:sz w:val="24"/>
                <w:szCs w:val="24"/>
                <w:lang w:val="en-US" w:eastAsia="zh-CN" w:bidi="ar-SA"/>
              </w:rPr>
            </w:pPr>
            <w:r>
              <w:rPr>
                <w:rFonts w:hint="eastAsia" w:cs="宋体"/>
                <w:b/>
                <w:bCs/>
                <w:color w:val="auto"/>
                <w:sz w:val="24"/>
                <w:szCs w:val="24"/>
              </w:rPr>
              <w:t>履约</w:t>
            </w:r>
            <w:r>
              <w:rPr>
                <w:rFonts w:hint="eastAsia" w:cs="宋体"/>
                <w:b/>
                <w:bCs/>
                <w:color w:val="auto"/>
                <w:sz w:val="24"/>
                <w:szCs w:val="24"/>
                <w:lang w:val="en-US" w:eastAsia="zh-CN"/>
              </w:rPr>
              <w:t>担保交纳</w:t>
            </w:r>
            <w:r>
              <w:rPr>
                <w:rFonts w:hint="eastAsia" w:cs="宋体"/>
                <w:b/>
                <w:bCs/>
                <w:color w:val="auto"/>
                <w:sz w:val="24"/>
                <w:szCs w:val="24"/>
              </w:rPr>
              <w:t>形式：</w:t>
            </w:r>
            <w:r>
              <w:rPr>
                <w:rFonts w:hint="eastAsia" w:asciiTheme="minorEastAsia" w:hAnsiTheme="minorEastAsia" w:eastAsiaTheme="minorEastAsia" w:cstheme="minorEastAsia"/>
                <w:color w:val="auto"/>
                <w:kern w:val="2"/>
                <w:sz w:val="24"/>
                <w:szCs w:val="24"/>
                <w:lang w:val="en-US" w:eastAsia="zh-CN" w:bidi="ar-SA"/>
              </w:rPr>
              <w:t>现金、保险保函、银行保函、担保保函以及法律法规规定的其他形式之一均可； 鼓励中标人采用电子保函的形式交纳履约保证金。</w:t>
            </w:r>
          </w:p>
          <w:p>
            <w:pPr>
              <w:pStyle w:val="15"/>
              <w:ind w:firstLine="482" w:firstLineChars="200"/>
              <w:rPr>
                <w:rFonts w:hint="default" w:cs="宋体"/>
                <w:b/>
                <w:bCs/>
                <w:color w:val="auto"/>
                <w:sz w:val="24"/>
                <w:szCs w:val="24"/>
                <w:lang w:val="en-US" w:eastAsia="zh-CN"/>
              </w:rPr>
            </w:pPr>
            <w:r>
              <w:rPr>
                <w:rFonts w:hint="eastAsia" w:cs="宋体"/>
                <w:b/>
                <w:bCs/>
                <w:color w:val="auto"/>
                <w:sz w:val="24"/>
                <w:szCs w:val="24"/>
              </w:rPr>
              <w:t>履约</w:t>
            </w:r>
            <w:r>
              <w:rPr>
                <w:rFonts w:hint="eastAsia" w:cs="宋体"/>
                <w:b/>
                <w:bCs/>
                <w:color w:val="auto"/>
                <w:sz w:val="24"/>
                <w:szCs w:val="24"/>
                <w:lang w:val="en-US" w:eastAsia="zh-CN"/>
              </w:rPr>
              <w:t>担保交纳比例</w:t>
            </w:r>
            <w:r>
              <w:rPr>
                <w:rFonts w:hint="eastAsia" w:cs="宋体"/>
                <w:b/>
                <w:bCs/>
                <w:color w:val="auto"/>
                <w:sz w:val="24"/>
                <w:szCs w:val="24"/>
              </w:rPr>
              <w:t>：</w:t>
            </w:r>
            <w:r>
              <w:rPr>
                <w:rFonts w:hint="eastAsia" w:cs="宋体"/>
                <w:b/>
                <w:bCs/>
                <w:color w:val="auto"/>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lang w:val="en-US" w:eastAsia="zh-CN" w:bidi="ar-SA"/>
              </w:rPr>
              <w:t>(按照《中华人民共和国招标投标法实施条例》第五十八条规定：招标文件要求中标人提交履约保证金的，中标人应当按照招标文件的要求提交。履约保证金不得超过中标合同金额的10%）</w:t>
            </w:r>
          </w:p>
          <w:p>
            <w:pPr>
              <w:pStyle w:val="15"/>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依据济宁市住房和城乡建设局《关于进一步明确优化履约保证金有关事项的通知》要求，结合诚信评价进行差异化交纳。招标人根据“济宁市建筑市场监管与诚信信息一体化平台”公布的企业信用评价等级，合理调整履约保证金交纳比例。等级为AAA级的可交纳应交金额的50%，等级为AA级的可交纳应交金额的70%，等级为A级交纳履约保证金可交纳应交金额的90%，等级为A级以下(含B、C级) 的全额交纳应交金额。</w:t>
            </w:r>
          </w:p>
          <w:p>
            <w:pPr>
              <w:ind w:firstLine="482"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eastAsia="宋体" w:cs="宋体"/>
                <w:b/>
                <w:bCs/>
                <w:color w:val="auto"/>
                <w:kern w:val="0"/>
                <w:sz w:val="24"/>
                <w:szCs w:val="24"/>
                <w:lang w:val="en-US" w:eastAsia="zh-CN" w:bidi="ar-SA"/>
              </w:rPr>
              <w:t>履约担保的退还：</w:t>
            </w:r>
            <w:r>
              <w:rPr>
                <w:rFonts w:hint="eastAsia" w:asciiTheme="minorEastAsia" w:hAnsiTheme="minorEastAsia" w:eastAsiaTheme="minorEastAsia" w:cstheme="minorEastAsia"/>
                <w:color w:val="auto"/>
                <w:kern w:val="2"/>
                <w:sz w:val="24"/>
                <w:szCs w:val="24"/>
                <w:lang w:val="en-US" w:eastAsia="zh-CN" w:bidi="ar-SA"/>
              </w:rPr>
              <w:t>招标人应在工程接受证书颁发后14天内把履约担保退还给承包人。</w:t>
            </w:r>
          </w:p>
          <w:p>
            <w:pPr>
              <w:ind w:firstLine="480" w:firstLineChars="200"/>
              <w:rPr>
                <w:b/>
                <w:szCs w:val="21"/>
              </w:rPr>
            </w:pPr>
            <w:r>
              <w:rPr>
                <w:rFonts w:hint="eastAsia"/>
                <w:color w:val="FF0000"/>
                <w:sz w:val="24"/>
                <w:highlight w:val="cyan"/>
              </w:rPr>
              <w:t>招标人同时提供等额工程款支付担保</w:t>
            </w:r>
            <w:r>
              <w:rPr>
                <w:rFonts w:hint="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3" w:type="dxa"/>
            <w:vAlign w:val="center"/>
          </w:tcPr>
          <w:p>
            <w:pPr>
              <w:jc w:val="center"/>
              <w:rPr>
                <w:szCs w:val="21"/>
              </w:rPr>
            </w:pPr>
            <w:r>
              <w:rPr>
                <w:rFonts w:hint="eastAsia"/>
                <w:szCs w:val="21"/>
              </w:rPr>
              <w:t>10</w:t>
            </w:r>
          </w:p>
        </w:tc>
        <w:tc>
          <w:tcPr>
            <w:tcW w:w="8441" w:type="dxa"/>
            <w:gridSpan w:val="3"/>
            <w:vAlign w:val="center"/>
          </w:tcPr>
          <w:p>
            <w:pPr>
              <w:rPr>
                <w:szCs w:val="21"/>
              </w:rPr>
            </w:pPr>
            <w:r>
              <w:rPr>
                <w:rFonts w:hint="eastAsia"/>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043" w:type="dxa"/>
            <w:vAlign w:val="center"/>
          </w:tcPr>
          <w:p>
            <w:pPr>
              <w:jc w:val="center"/>
              <w:rPr>
                <w:szCs w:val="21"/>
              </w:rPr>
            </w:pPr>
            <w:r>
              <w:rPr>
                <w:rFonts w:hint="eastAsia"/>
                <w:szCs w:val="21"/>
              </w:rPr>
              <w:t>10.1</w:t>
            </w:r>
          </w:p>
        </w:tc>
        <w:tc>
          <w:tcPr>
            <w:tcW w:w="2248" w:type="dxa"/>
            <w:gridSpan w:val="2"/>
            <w:vAlign w:val="center"/>
          </w:tcPr>
          <w:p>
            <w:pPr>
              <w:jc w:val="center"/>
              <w:rPr>
                <w:szCs w:val="21"/>
              </w:rPr>
            </w:pPr>
            <w:r>
              <w:rPr>
                <w:rFonts w:hint="eastAsia"/>
                <w:szCs w:val="21"/>
              </w:rPr>
              <w:t>施工组织设计是否采用</w:t>
            </w:r>
          </w:p>
          <w:p>
            <w:pPr>
              <w:jc w:val="center"/>
              <w:rPr>
                <w:szCs w:val="21"/>
              </w:rPr>
            </w:pPr>
            <w:r>
              <w:rPr>
                <w:rFonts w:hint="eastAsia"/>
                <w:szCs w:val="21"/>
              </w:rPr>
              <w:t>“暗标”评审方式</w:t>
            </w:r>
          </w:p>
        </w:tc>
        <w:tc>
          <w:tcPr>
            <w:tcW w:w="6193" w:type="dxa"/>
            <w:vAlign w:val="center"/>
          </w:tcPr>
          <w:p>
            <w:pPr>
              <w:spacing w:line="312" w:lineRule="auto"/>
              <w:jc w:val="center"/>
              <w:rPr>
                <w:szCs w:val="21"/>
              </w:rPr>
            </w:pPr>
            <w:r>
              <w:rPr>
                <w:rFonts w:hint="eastAsia"/>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43" w:type="dxa"/>
            <w:vAlign w:val="center"/>
          </w:tcPr>
          <w:p>
            <w:pPr>
              <w:jc w:val="center"/>
              <w:rPr>
                <w:szCs w:val="21"/>
              </w:rPr>
            </w:pPr>
            <w:r>
              <w:rPr>
                <w:szCs w:val="21"/>
              </w:rPr>
              <w:t>10.</w:t>
            </w:r>
            <w:r>
              <w:rPr>
                <w:rFonts w:hint="eastAsia"/>
                <w:szCs w:val="21"/>
              </w:rPr>
              <w:t>2</w:t>
            </w:r>
          </w:p>
        </w:tc>
        <w:tc>
          <w:tcPr>
            <w:tcW w:w="2248" w:type="dxa"/>
            <w:gridSpan w:val="2"/>
            <w:vAlign w:val="center"/>
          </w:tcPr>
          <w:p>
            <w:pPr>
              <w:jc w:val="center"/>
              <w:rPr>
                <w:szCs w:val="21"/>
              </w:rPr>
            </w:pPr>
            <w:r>
              <w:rPr>
                <w:rFonts w:hAnsi="宋体"/>
                <w:szCs w:val="21"/>
              </w:rPr>
              <w:t>付款方式</w:t>
            </w:r>
          </w:p>
        </w:tc>
        <w:tc>
          <w:tcPr>
            <w:tcW w:w="6193" w:type="dxa"/>
            <w:vAlign w:val="center"/>
          </w:tcPr>
          <w:p>
            <w:pPr>
              <w:ind w:firstLine="420" w:firstLineChars="200"/>
              <w:rPr>
                <w:color w:val="FF0000"/>
                <w:szCs w:val="21"/>
              </w:rPr>
            </w:pPr>
            <w:r>
              <w:rPr>
                <w:rFonts w:hint="eastAsia"/>
                <w:color w:val="FF0000"/>
                <w:highlight w:val="cyan"/>
              </w:rPr>
              <w:t>按工程进度拨付工程款；拨付额度为已完工程造价的70%（</w:t>
            </w:r>
            <w:r>
              <w:rPr>
                <w:rFonts w:hint="eastAsia"/>
                <w:color w:val="FF0000"/>
                <w:szCs w:val="21"/>
                <w:highlight w:val="cyan"/>
              </w:rPr>
              <w:t>工程进度可以分为完成正负零、主体完成、竣工验收等阶段）；工程竣工结算拨付至结算造价的97</w:t>
            </w:r>
            <w:r>
              <w:rPr>
                <w:color w:val="FF0000"/>
                <w:szCs w:val="21"/>
                <w:highlight w:val="cyan"/>
              </w:rPr>
              <w:t>%</w:t>
            </w:r>
            <w:r>
              <w:rPr>
                <w:rFonts w:hint="eastAsia"/>
                <w:color w:val="FF0000"/>
                <w:szCs w:val="21"/>
                <w:highlight w:val="cyan"/>
              </w:rPr>
              <w:t>，剩余3%作为质保金；质保期满无质量问题付清。</w:t>
            </w:r>
          </w:p>
          <w:p>
            <w:pPr>
              <w:ind w:firstLine="422" w:firstLineChars="200"/>
              <w:rPr>
                <w:b/>
                <w:bCs/>
                <w:szCs w:val="21"/>
              </w:rPr>
            </w:pPr>
            <w:r>
              <w:rPr>
                <w:rFonts w:hint="eastAsia"/>
                <w:b/>
                <w:color w:val="FF0000"/>
                <w:szCs w:val="21"/>
                <w:highlight w:val="cyan"/>
              </w:rPr>
              <w:t>具体支付方式按双方签订合同执行。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10.3</w:t>
            </w:r>
          </w:p>
        </w:tc>
        <w:tc>
          <w:tcPr>
            <w:tcW w:w="2248"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投标函</w:t>
            </w:r>
          </w:p>
        </w:tc>
        <w:tc>
          <w:tcPr>
            <w:tcW w:w="619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bCs/>
              </w:rPr>
            </w:pPr>
            <w:r>
              <w:rPr>
                <w:rFonts w:hint="eastAsia" w:ascii="宋体" w:hAnsi="宋体"/>
                <w:bCs/>
              </w:rPr>
              <w:t>投标单位应按照第八章“投标文件格式”中“</w:t>
            </w:r>
            <w:r>
              <w:rPr>
                <w:rFonts w:ascii="宋体" w:hAnsi="宋体"/>
                <w:bCs/>
              </w:rPr>
              <w:t>投标函</w:t>
            </w:r>
            <w:r>
              <w:rPr>
                <w:rFonts w:hint="eastAsia" w:ascii="宋体" w:hAnsi="宋体"/>
                <w:bCs/>
              </w:rPr>
              <w:t>”格式，完整填写投标报价、措施项目费、工期、质量等内容。</w:t>
            </w:r>
          </w:p>
          <w:p>
            <w:pPr>
              <w:ind w:firstLine="420" w:firstLineChars="200"/>
              <w:rPr>
                <w:rFonts w:ascii="宋体" w:hAnsi="宋体"/>
                <w:bCs/>
              </w:rPr>
            </w:pPr>
            <w:r>
              <w:rPr>
                <w:rFonts w:hint="eastAsia" w:ascii="宋体" w:hAnsi="宋体"/>
                <w:bCs/>
              </w:rPr>
              <w:t>如因填写内容不完整，导致评标委员会认为无法评审的，后果自负。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10.4</w:t>
            </w:r>
          </w:p>
        </w:tc>
        <w:tc>
          <w:tcPr>
            <w:tcW w:w="8441"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bCs/>
              </w:rPr>
            </w:pPr>
            <w:r>
              <w:rPr>
                <w:rFonts w:hint="eastAsia" w:ascii="宋体" w:hAnsi="宋体"/>
                <w:bCs/>
              </w:rPr>
              <w:t>在任何评标环节中，需评标委员会就某项定性的评审结论做出表决的，由评标委员会全体成员按照少数服从多数的原则，以记名投票方式表决。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rFonts w:hint="eastAsia"/>
                <w:color w:val="FF0000"/>
              </w:rPr>
              <w:t>10.5</w:t>
            </w:r>
          </w:p>
        </w:tc>
        <w:tc>
          <w:tcPr>
            <w:tcW w:w="2248" w:type="dxa"/>
            <w:gridSpan w:val="2"/>
            <w:tcBorders>
              <w:top w:val="single" w:color="auto" w:sz="4" w:space="0"/>
              <w:left w:val="single" w:color="auto" w:sz="4" w:space="0"/>
              <w:bottom w:val="single" w:color="auto" w:sz="4" w:space="0"/>
              <w:right w:val="single" w:color="auto" w:sz="4" w:space="0"/>
            </w:tcBorders>
            <w:vAlign w:val="center"/>
          </w:tcPr>
          <w:p>
            <w:pPr>
              <w:ind w:firstLine="945" w:firstLineChars="450"/>
            </w:pPr>
            <w:r>
              <w:rPr>
                <w:rFonts w:hint="eastAsia" w:ascii="宋体" w:hAnsi="宋体"/>
                <w:bCs/>
              </w:rPr>
              <w:t>清标</w:t>
            </w:r>
          </w:p>
        </w:tc>
        <w:tc>
          <w:tcPr>
            <w:tcW w:w="6193"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szCs w:val="21"/>
              </w:rPr>
            </w:pPr>
            <w:r>
              <w:rPr>
                <w:rFonts w:hint="eastAsia"/>
                <w:szCs w:val="21"/>
                <w:highlight w:val="yellow"/>
              </w:rPr>
              <w:t>1、各投标人在递交投标文件前，请使用标书编制软件中的符合性、错误性检查功能，对照招标人发布的工程量清单检查投标文件中已标价工程量清单的准确性、符合性。</w:t>
            </w:r>
          </w:p>
          <w:p>
            <w:pPr>
              <w:jc w:val="left"/>
              <w:rPr>
                <w:szCs w:val="21"/>
              </w:rPr>
            </w:pPr>
            <w:r>
              <w:rPr>
                <w:rFonts w:hint="eastAsia"/>
                <w:szCs w:val="21"/>
              </w:rPr>
              <w:t xml:space="preserve">    2、投标文件递交后如在清标过程中发现算术性计算错误、错漏项等不符合初步评审要求的，评标委员会将否决其投标。</w:t>
            </w:r>
          </w:p>
          <w:p>
            <w:pPr>
              <w:jc w:val="left"/>
              <w:rPr>
                <w:szCs w:val="21"/>
              </w:rPr>
            </w:pPr>
            <w:r>
              <w:rPr>
                <w:rFonts w:hint="eastAsia"/>
                <w:szCs w:val="21"/>
                <w:highlight w:val="yellow"/>
              </w:rPr>
              <w:t>3</w:t>
            </w:r>
            <w:r>
              <w:rPr>
                <w:rFonts w:hint="eastAsia" w:ascii="宋体" w:hAnsi="宋体" w:cs="宋体"/>
                <w:kern w:val="0"/>
                <w:szCs w:val="21"/>
                <w:highlight w:val="yellow"/>
              </w:rPr>
              <w:t>、</w:t>
            </w:r>
            <w:r>
              <w:rPr>
                <w:rFonts w:hint="eastAsia"/>
                <w:szCs w:val="21"/>
                <w:highlight w:val="yellow"/>
              </w:rPr>
              <w:t>网络操作咨询电话（电子信息部）：4001012166转6。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rFonts w:hint="eastAsia"/>
                <w:color w:val="FF0000"/>
              </w:rPr>
              <w:t>10.6</w:t>
            </w:r>
          </w:p>
        </w:tc>
        <w:tc>
          <w:tcPr>
            <w:tcW w:w="8441"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投标人认为招标文件中有限制、排斥投标人情形的，应当在投标截止时间</w:t>
            </w:r>
            <w:r>
              <w:t>10</w:t>
            </w:r>
            <w:r>
              <w:rPr>
                <w:rFonts w:hint="eastAsia"/>
              </w:rPr>
              <w:t>日前向招标人书面提出，未在规定时间内提出异议的，视为对招标文件无异议。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r>
              <w:rPr>
                <w:rFonts w:hint="eastAsia"/>
                <w:color w:val="FF0000"/>
              </w:rPr>
              <w:t>10.7</w:t>
            </w:r>
          </w:p>
        </w:tc>
        <w:tc>
          <w:tcPr>
            <w:tcW w:w="8441"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以暂估价形式包括在本项目内的工程、货物、服务属于依法必须进行招标的项目范围且达到国家规定规模标准的，应当依法进行招标。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bCs/>
              </w:rPr>
            </w:pPr>
            <w:r>
              <w:rPr>
                <w:rFonts w:hint="eastAsia" w:ascii="宋体" w:hAnsi="宋体"/>
                <w:bCs/>
              </w:rPr>
              <w:t>10.8</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是否需要携带样品</w:t>
            </w:r>
          </w:p>
        </w:tc>
        <w:tc>
          <w:tcPr>
            <w:tcW w:w="631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□否</w:t>
            </w:r>
          </w:p>
          <w:p>
            <w:r>
              <w:rPr>
                <w:rFonts w:hint="eastAsia"/>
              </w:rPr>
              <w:t>□是，应满足下列要求：</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vMerge w:val="restart"/>
            <w:tcBorders>
              <w:top w:val="single" w:color="auto" w:sz="4" w:space="0"/>
              <w:left w:val="single" w:color="auto" w:sz="4" w:space="0"/>
              <w:right w:val="single" w:color="auto" w:sz="4" w:space="0"/>
            </w:tcBorders>
            <w:vAlign w:val="center"/>
          </w:tcPr>
          <w:p>
            <w:pPr>
              <w:ind w:firstLine="105" w:firstLineChars="50"/>
              <w:rPr>
                <w:rFonts w:ascii="宋体" w:hAnsi="宋体"/>
                <w:bCs/>
                <w:szCs w:val="21"/>
              </w:rPr>
            </w:pPr>
            <w:r>
              <w:rPr>
                <w:rFonts w:hint="eastAsia" w:ascii="宋体" w:hAnsi="宋体"/>
                <w:bCs/>
                <w:szCs w:val="21"/>
              </w:rPr>
              <w:t>10.9</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重要说明</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b/>
                <w:bCs/>
                <w:szCs w:val="21"/>
                <w:highlight w:val="cyan"/>
              </w:rPr>
            </w:pPr>
            <w:r>
              <w:rPr>
                <w:rFonts w:hint="eastAsia" w:ascii="宋体" w:hAnsi="宋体" w:cs="宋体"/>
                <w:b/>
                <w:bCs/>
                <w:szCs w:val="21"/>
                <w:highlight w:val="cyan"/>
              </w:rPr>
              <w:t>1、本项目施工过程中的扬尘治理、临时设施围挡已包含在安全文明施工费中，不单独计取。</w:t>
            </w:r>
          </w:p>
          <w:p>
            <w:pPr>
              <w:pStyle w:val="15"/>
              <w:rPr>
                <w:szCs w:val="21"/>
              </w:rPr>
            </w:pPr>
            <w:r>
              <w:rPr>
                <w:rFonts w:hint="eastAsia" w:ascii="宋体" w:hAnsi="宋体" w:cs="宋体"/>
                <w:b/>
                <w:bCs/>
                <w:szCs w:val="21"/>
                <w:highlight w:val="cyan"/>
              </w:rPr>
              <w:t>2、中标结果公示期满无异议、中标通知书发出之前，中标人应提供为本项目管理班子成员（包括：***、***、***等）缴纳的 近个月的社会养老保险证明材料；若未按要求提供，视为放弃中标资格</w:t>
            </w:r>
            <w:r>
              <w:rPr>
                <w:rFonts w:hint="eastAsia" w:ascii="宋体" w:hAnsi="宋体" w:cs="宋体"/>
                <w:b/>
                <w:bCs/>
                <w:szCs w:val="21"/>
              </w:rPr>
              <w:t>。</w:t>
            </w:r>
            <w:r>
              <w:rPr>
                <w:rFonts w:hint="eastAsia" w:ascii="宋体" w:hAnsi="宋体" w:cs="宋体"/>
                <w:b/>
                <w:bCs/>
                <w:color w:val="FF0000"/>
                <w:szCs w:val="21"/>
              </w:rPr>
              <w:t>（是否设置此条款，由招标人结合实际确定）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vMerge w:val="continue"/>
            <w:tcBorders>
              <w:left w:val="single" w:color="auto" w:sz="4" w:space="0"/>
              <w:bottom w:val="single" w:color="auto" w:sz="4" w:space="0"/>
              <w:right w:val="single" w:color="auto" w:sz="4" w:space="0"/>
            </w:tcBorders>
            <w:vAlign w:val="center"/>
          </w:tcPr>
          <w:p>
            <w:pPr>
              <w:ind w:firstLine="105" w:firstLineChars="50"/>
              <w:rPr>
                <w:rFonts w:ascii="宋体" w:hAnsi="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92" w:lineRule="exact"/>
              <w:jc w:val="center"/>
            </w:pPr>
            <w:r>
              <w:rPr>
                <w:rFonts w:hint="eastAsia"/>
              </w:rPr>
              <w:t>解释权</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bCs/>
              </w:rPr>
            </w:pPr>
            <w:r>
              <w:rPr>
                <w:rFonts w:hint="eastAsia" w:ascii="宋体" w:hAnsi="宋体"/>
                <w:bCs/>
              </w:rPr>
              <w:t>10.10</w:t>
            </w:r>
          </w:p>
        </w:tc>
        <w:tc>
          <w:tcPr>
            <w:tcW w:w="2248"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firstLine="480" w:firstLineChars="200"/>
              <w:jc w:val="left"/>
              <w:rPr>
                <w:sz w:val="24"/>
                <w:highlight w:val="green"/>
              </w:rPr>
            </w:pPr>
            <w:r>
              <w:rPr>
                <w:rFonts w:hint="eastAsia"/>
                <w:sz w:val="24"/>
                <w:highlight w:val="green"/>
              </w:rPr>
              <w:t>因本项目采用远程不见面交易模式，投标人参加不见面开标具体操作详见详见济宁市公共资源交易网《济宁市公共资源电子交易平台不见面开标系统操作手册（投标人、供应商）》，同时，招标人对其他相关事项特别说明如下：</w:t>
            </w:r>
          </w:p>
          <w:p>
            <w:pPr>
              <w:widowControl/>
              <w:spacing w:line="330" w:lineRule="exact"/>
              <w:ind w:firstLine="480" w:firstLineChars="200"/>
              <w:jc w:val="left"/>
              <w:rPr>
                <w:sz w:val="24"/>
                <w:highlight w:val="green"/>
              </w:rPr>
            </w:pPr>
            <w:r>
              <w:rPr>
                <w:rFonts w:hint="eastAsia"/>
                <w:sz w:val="24"/>
                <w:highlight w:val="green"/>
              </w:rPr>
              <w:t>1、远程开标项目的时间均以济宁市公共资源远程不见面开标系统的时间为准。</w:t>
            </w:r>
          </w:p>
          <w:p>
            <w:pPr>
              <w:widowControl/>
              <w:spacing w:line="330" w:lineRule="exact"/>
              <w:ind w:firstLine="480" w:firstLineChars="200"/>
              <w:jc w:val="left"/>
              <w:rPr>
                <w:sz w:val="24"/>
                <w:highlight w:val="green"/>
              </w:rPr>
            </w:pPr>
            <w:r>
              <w:rPr>
                <w:rFonts w:hint="eastAsia"/>
                <w:sz w:val="24"/>
                <w:highlight w:val="green"/>
              </w:rPr>
              <w:t>2、本项目招投标文件均用专用招投标工具软件编制。投标人投标文件的编制和递交，应依照招标文件的规定进行。如未按招标文件要求编制、递交电子投标文件，将可能导致其投标无效，其后果由投标人自负。</w:t>
            </w:r>
          </w:p>
          <w:p>
            <w:pPr>
              <w:widowControl/>
              <w:spacing w:line="330" w:lineRule="exact"/>
              <w:ind w:firstLine="480" w:firstLineChars="200"/>
              <w:jc w:val="left"/>
              <w:rPr>
                <w:sz w:val="24"/>
                <w:highlight w:val="green"/>
              </w:rPr>
            </w:pPr>
            <w:r>
              <w:rPr>
                <w:rFonts w:hint="eastAsia"/>
                <w:sz w:val="24"/>
                <w:highlight w:val="green"/>
              </w:rPr>
              <w:t>3、投标人通过济宁市公共资源交易平台递交的电子投标文件为评标依据。开标当日，所有投标人不必抵达交易中心，仅需在任意地点登录济宁市不见面开标大厅参加开标会议，并根据需要使用济宁市公共资源远程不见面开标系统进行互动交流、提异议等活动。</w:t>
            </w:r>
          </w:p>
          <w:p>
            <w:pPr>
              <w:widowControl/>
              <w:spacing w:line="330" w:lineRule="exact"/>
              <w:ind w:firstLine="480" w:firstLineChars="200"/>
              <w:jc w:val="left"/>
              <w:rPr>
                <w:sz w:val="24"/>
                <w:highlight w:val="green"/>
              </w:rPr>
            </w:pPr>
            <w:r>
              <w:rPr>
                <w:rFonts w:hint="eastAsia"/>
                <w:sz w:val="24"/>
                <w:highlight w:val="green"/>
              </w:rPr>
              <w:t>4、提交投标文件的投标人必须在开标时间前1小时内签到，未按规定签到的投标人视为投标无效，将无法参加项目后续开评标程序。</w:t>
            </w:r>
          </w:p>
          <w:p>
            <w:pPr>
              <w:widowControl/>
              <w:spacing w:line="330" w:lineRule="exact"/>
              <w:ind w:firstLine="480" w:firstLineChars="200"/>
              <w:jc w:val="left"/>
              <w:rPr>
                <w:sz w:val="24"/>
                <w:highlight w:val="green"/>
              </w:rPr>
            </w:pPr>
            <w:r>
              <w:rPr>
                <w:rFonts w:hint="eastAsia"/>
                <w:sz w:val="24"/>
                <w:highlight w:val="green"/>
              </w:rPr>
              <w:t>5、开评标全过程中，各投标人参与远程交互的人员行为及意思表示均视为投标企业及法定代表人的行为及意思表示，投标人不得以不承认交互人员的资格或身份等为借口抵赖推脱。</w:t>
            </w:r>
          </w:p>
          <w:p>
            <w:pPr>
              <w:widowControl/>
              <w:spacing w:line="330" w:lineRule="exact"/>
              <w:ind w:firstLine="480" w:firstLineChars="200"/>
              <w:jc w:val="left"/>
              <w:rPr>
                <w:sz w:val="24"/>
                <w:highlight w:val="green"/>
              </w:rPr>
            </w:pPr>
            <w:r>
              <w:rPr>
                <w:rFonts w:hint="eastAsia"/>
                <w:sz w:val="24"/>
                <w:highlight w:val="green"/>
              </w:rPr>
              <w:t>6、为顺利实现本项目开评标的远程交互，建议投标人合理配置软硬件设施，具体要求详见详见济宁市公共资源交易网《济宁市公共资源电子交易平台不见面开标系统操作手册（投标人、供应商）》。</w:t>
            </w:r>
          </w:p>
          <w:p>
            <w:pPr>
              <w:widowControl/>
              <w:spacing w:line="330" w:lineRule="exact"/>
              <w:ind w:firstLine="480" w:firstLineChars="200"/>
              <w:jc w:val="left"/>
              <w:rPr>
                <w:szCs w:val="21"/>
                <w:highlight w:val="yellow"/>
              </w:rPr>
            </w:pPr>
            <w:r>
              <w:rPr>
                <w:rFonts w:hint="eastAsia"/>
                <w:sz w:val="24"/>
                <w:highlight w:val="green"/>
              </w:rPr>
              <w:t>为保证交互效果，建议投标人选择封闭安静的地点参与远程交互。因投标人自身软硬件配备不齐全或发生故障等问题而导致在交互过程中出现不稳定或中断等情况的，由投标人自身承担一切后果。</w:t>
            </w:r>
          </w:p>
        </w:tc>
      </w:tr>
    </w:tbl>
    <w:p>
      <w:pPr>
        <w:rPr>
          <w:rFonts w:ascii="黑体" w:eastAsia="黑体"/>
          <w:sz w:val="30"/>
          <w:szCs w:val="30"/>
          <w:highlight w:val="cyan"/>
        </w:rPr>
      </w:pPr>
      <w:bookmarkStart w:id="5" w:name="_Toc312072226"/>
      <w:bookmarkStart w:id="6" w:name="_Toc269310918"/>
    </w:p>
    <w:p>
      <w:pPr>
        <w:pStyle w:val="66"/>
        <w:spacing w:before="240" w:after="240" w:line="360" w:lineRule="exact"/>
        <w:jc w:val="center"/>
        <w:rPr>
          <w:rFonts w:cs="Times New Roman"/>
          <w:sz w:val="36"/>
          <w:szCs w:val="36"/>
        </w:rPr>
      </w:pPr>
      <w:r>
        <w:rPr>
          <w:rFonts w:cs="Times New Roman"/>
          <w:sz w:val="36"/>
          <w:szCs w:val="36"/>
        </w:rPr>
        <w:t>投标</w:t>
      </w:r>
      <w:r>
        <w:rPr>
          <w:rFonts w:hint="eastAsia" w:cs="Times New Roman"/>
          <w:sz w:val="36"/>
          <w:szCs w:val="36"/>
        </w:rPr>
        <w:t>人</w:t>
      </w:r>
      <w:r>
        <w:rPr>
          <w:rFonts w:cs="Times New Roman"/>
          <w:sz w:val="36"/>
          <w:szCs w:val="36"/>
        </w:rPr>
        <w:t>须知</w:t>
      </w:r>
      <w:bookmarkEnd w:id="5"/>
      <w:bookmarkEnd w:id="6"/>
      <w:r>
        <w:rPr>
          <w:rFonts w:hint="eastAsia" w:cs="Times New Roman"/>
          <w:sz w:val="36"/>
          <w:szCs w:val="36"/>
        </w:rPr>
        <w:t>正文部分</w:t>
      </w:r>
    </w:p>
    <w:p>
      <w:pPr>
        <w:pStyle w:val="66"/>
        <w:spacing w:before="120" w:after="240" w:line="360" w:lineRule="exact"/>
        <w:rPr>
          <w:rFonts w:cs="Times New Roman"/>
          <w:sz w:val="30"/>
          <w:szCs w:val="30"/>
        </w:rPr>
      </w:pPr>
      <w:bookmarkStart w:id="7" w:name="_Toc312072227"/>
      <w:bookmarkStart w:id="8" w:name="_Toc269310919"/>
      <w:bookmarkStart w:id="9" w:name="_Toc152045530"/>
      <w:bookmarkStart w:id="10" w:name="_Toc144974498"/>
      <w:bookmarkStart w:id="11" w:name="_Toc152042306"/>
      <w:r>
        <w:rPr>
          <w:rFonts w:cs="Times New Roman"/>
          <w:sz w:val="30"/>
          <w:szCs w:val="30"/>
        </w:rPr>
        <w:t>1. 总则</w:t>
      </w:r>
      <w:bookmarkEnd w:id="7"/>
      <w:bookmarkEnd w:id="8"/>
    </w:p>
    <w:p>
      <w:pPr>
        <w:pStyle w:val="4"/>
        <w:spacing w:before="120" w:after="160" w:line="360" w:lineRule="exact"/>
        <w:rPr>
          <w:rFonts w:eastAsia="黑体"/>
          <w:b w:val="0"/>
          <w:sz w:val="28"/>
          <w:szCs w:val="28"/>
        </w:rPr>
      </w:pPr>
      <w:bookmarkStart w:id="12" w:name="_Toc269310920"/>
      <w:bookmarkStart w:id="13" w:name="_Toc312072228"/>
      <w:r>
        <w:rPr>
          <w:rFonts w:eastAsia="黑体"/>
          <w:b w:val="0"/>
          <w:sz w:val="28"/>
          <w:szCs w:val="28"/>
        </w:rPr>
        <w:t>1.1 项目概况</w:t>
      </w:r>
      <w:bookmarkEnd w:id="9"/>
      <w:bookmarkEnd w:id="10"/>
      <w:bookmarkEnd w:id="11"/>
      <w:bookmarkEnd w:id="12"/>
      <w:bookmarkEnd w:id="13"/>
    </w:p>
    <w:p>
      <w:pPr>
        <w:spacing w:line="360" w:lineRule="exact"/>
        <w:ind w:firstLine="480" w:firstLineChars="200"/>
        <w:rPr>
          <w:sz w:val="24"/>
        </w:rPr>
      </w:pPr>
      <w:r>
        <w:rPr>
          <w:sz w:val="24"/>
        </w:rPr>
        <w:t>1.1.1根据《中华人民共和国招标投标法》</w:t>
      </w:r>
      <w:r>
        <w:rPr>
          <w:rFonts w:hint="eastAsia"/>
          <w:sz w:val="24"/>
        </w:rPr>
        <w:t>、《中华人民共和国招标投标法实施条例》、《工程建设项目施工招标投标办法》、《山东省房屋建筑和市政工程招标投标管理办法》</w:t>
      </w:r>
      <w:r>
        <w:rPr>
          <w:sz w:val="24"/>
        </w:rPr>
        <w:t>等有关法律、法规规定，本项目已具备招标条件，现</w:t>
      </w:r>
      <w:r>
        <w:rPr>
          <w:rFonts w:hint="eastAsia"/>
          <w:sz w:val="24"/>
        </w:rPr>
        <w:t>采用公开招标方式</w:t>
      </w:r>
      <w:r>
        <w:rPr>
          <w:sz w:val="24"/>
        </w:rPr>
        <w:t>对</w:t>
      </w:r>
      <w:r>
        <w:rPr>
          <w:rFonts w:hint="eastAsia"/>
          <w:sz w:val="24"/>
        </w:rPr>
        <w:t>该项目</w:t>
      </w:r>
      <w:r>
        <w:rPr>
          <w:sz w:val="24"/>
        </w:rPr>
        <w:t>施工进行招标</w:t>
      </w:r>
      <w:r>
        <w:rPr>
          <w:rFonts w:hint="eastAsia"/>
          <w:sz w:val="24"/>
        </w:rPr>
        <w:t>；</w:t>
      </w:r>
    </w:p>
    <w:p>
      <w:pPr>
        <w:spacing w:line="360" w:lineRule="exact"/>
        <w:ind w:firstLine="480" w:firstLineChars="200"/>
        <w:rPr>
          <w:sz w:val="24"/>
        </w:rPr>
      </w:pPr>
      <w:r>
        <w:rPr>
          <w:rFonts w:hint="eastAsia"/>
          <w:sz w:val="24"/>
        </w:rPr>
        <w:t>1.1.2 本项目招标人：见投标人须知前附表；</w:t>
      </w:r>
    </w:p>
    <w:p>
      <w:pPr>
        <w:spacing w:line="360" w:lineRule="exact"/>
        <w:ind w:firstLine="480" w:firstLineChars="200"/>
        <w:rPr>
          <w:sz w:val="24"/>
        </w:rPr>
      </w:pPr>
      <w:r>
        <w:rPr>
          <w:rFonts w:hint="eastAsia"/>
          <w:sz w:val="24"/>
        </w:rPr>
        <w:t>1.1.3 本项目招标代理机构：见投标人须知前附表；</w:t>
      </w:r>
    </w:p>
    <w:p>
      <w:pPr>
        <w:spacing w:line="360" w:lineRule="exact"/>
        <w:ind w:firstLine="480" w:firstLineChars="200"/>
        <w:rPr>
          <w:sz w:val="24"/>
        </w:rPr>
      </w:pPr>
      <w:r>
        <w:rPr>
          <w:rFonts w:hint="eastAsia"/>
          <w:sz w:val="24"/>
        </w:rPr>
        <w:t>1.1.4 本项目名称</w:t>
      </w:r>
      <w:r>
        <w:rPr>
          <w:sz w:val="24"/>
        </w:rPr>
        <w:t>、招标编号和标段划分</w:t>
      </w:r>
      <w:r>
        <w:rPr>
          <w:rFonts w:hint="eastAsia"/>
          <w:sz w:val="24"/>
        </w:rPr>
        <w:t>：见投标人须知前附表；</w:t>
      </w:r>
    </w:p>
    <w:p>
      <w:pPr>
        <w:spacing w:line="360" w:lineRule="exact"/>
        <w:ind w:firstLine="480" w:firstLineChars="200"/>
        <w:rPr>
          <w:sz w:val="24"/>
        </w:rPr>
      </w:pPr>
      <w:r>
        <w:rPr>
          <w:rFonts w:hint="eastAsia"/>
          <w:sz w:val="24"/>
        </w:rPr>
        <w:t>1.1.5 本项目工程概况：见投标人须知前附表；</w:t>
      </w:r>
    </w:p>
    <w:p>
      <w:pPr>
        <w:spacing w:line="360" w:lineRule="exact"/>
        <w:ind w:firstLine="480" w:firstLineChars="200"/>
        <w:rPr>
          <w:sz w:val="24"/>
        </w:rPr>
      </w:pPr>
      <w:r>
        <w:rPr>
          <w:rFonts w:hint="eastAsia"/>
          <w:sz w:val="24"/>
        </w:rPr>
        <w:t>1.1.6 本项目建设地点：见投标人须知前附表。</w:t>
      </w:r>
    </w:p>
    <w:p>
      <w:pPr>
        <w:pStyle w:val="4"/>
        <w:spacing w:before="120" w:after="160" w:line="360" w:lineRule="exact"/>
        <w:rPr>
          <w:rFonts w:eastAsia="黑体"/>
          <w:b w:val="0"/>
          <w:sz w:val="28"/>
          <w:szCs w:val="28"/>
        </w:rPr>
      </w:pPr>
      <w:bookmarkStart w:id="14" w:name="_Toc312072229"/>
      <w:bookmarkStart w:id="15" w:name="_Toc269310921"/>
      <w:bookmarkStart w:id="16" w:name="_Toc152042307"/>
      <w:bookmarkStart w:id="17" w:name="_Toc152045531"/>
      <w:bookmarkStart w:id="18" w:name="_Toc144974499"/>
      <w:r>
        <w:rPr>
          <w:rFonts w:eastAsia="黑体"/>
          <w:b w:val="0"/>
          <w:sz w:val="28"/>
          <w:szCs w:val="28"/>
        </w:rPr>
        <w:t>1.2资金来源</w:t>
      </w:r>
      <w:r>
        <w:rPr>
          <w:rFonts w:hint="eastAsia" w:eastAsia="黑体"/>
          <w:b w:val="0"/>
          <w:sz w:val="28"/>
          <w:szCs w:val="28"/>
        </w:rPr>
        <w:t>、招标方式、招标控制价</w:t>
      </w:r>
      <w:bookmarkEnd w:id="14"/>
      <w:bookmarkEnd w:id="15"/>
      <w:bookmarkEnd w:id="16"/>
      <w:bookmarkEnd w:id="17"/>
      <w:bookmarkEnd w:id="18"/>
    </w:p>
    <w:p>
      <w:pPr>
        <w:spacing w:line="360" w:lineRule="exact"/>
        <w:ind w:firstLine="480" w:firstLineChars="200"/>
        <w:rPr>
          <w:sz w:val="24"/>
        </w:rPr>
      </w:pPr>
      <w:r>
        <w:rPr>
          <w:sz w:val="24"/>
        </w:rPr>
        <w:t>1.2.1本项目资金来源见投标人须知前附表</w:t>
      </w:r>
      <w:r>
        <w:rPr>
          <w:rFonts w:hint="eastAsia"/>
          <w:sz w:val="24"/>
        </w:rPr>
        <w:t>；</w:t>
      </w:r>
    </w:p>
    <w:p>
      <w:pPr>
        <w:spacing w:line="360" w:lineRule="exact"/>
        <w:ind w:firstLine="480" w:firstLineChars="200"/>
        <w:rPr>
          <w:sz w:val="24"/>
        </w:rPr>
      </w:pPr>
      <w:r>
        <w:rPr>
          <w:sz w:val="24"/>
        </w:rPr>
        <w:t>1.2.</w:t>
      </w:r>
      <w:r>
        <w:rPr>
          <w:rFonts w:hint="eastAsia"/>
          <w:sz w:val="24"/>
        </w:rPr>
        <w:t>2</w:t>
      </w:r>
      <w:r>
        <w:rPr>
          <w:sz w:val="24"/>
        </w:rPr>
        <w:t>本项目</w:t>
      </w:r>
      <w:r>
        <w:rPr>
          <w:rFonts w:hint="eastAsia"/>
          <w:sz w:val="24"/>
        </w:rPr>
        <w:t>招标方式</w:t>
      </w:r>
      <w:r>
        <w:rPr>
          <w:sz w:val="24"/>
        </w:rPr>
        <w:t>见投标人须知前附表</w:t>
      </w:r>
      <w:r>
        <w:rPr>
          <w:rFonts w:hint="eastAsia"/>
          <w:sz w:val="24"/>
        </w:rPr>
        <w:t>；</w:t>
      </w:r>
    </w:p>
    <w:p>
      <w:pPr>
        <w:spacing w:line="360" w:lineRule="exact"/>
        <w:ind w:firstLine="480" w:firstLineChars="200"/>
        <w:rPr>
          <w:color w:val="FF0000"/>
          <w:sz w:val="24"/>
        </w:rPr>
      </w:pPr>
      <w:r>
        <w:rPr>
          <w:sz w:val="24"/>
        </w:rPr>
        <w:t>1.2.</w:t>
      </w:r>
      <w:r>
        <w:rPr>
          <w:rFonts w:hint="eastAsia"/>
          <w:sz w:val="24"/>
        </w:rPr>
        <w:t>3本项目招标控制价见投标人须知前附表。</w:t>
      </w:r>
      <w:r>
        <w:rPr>
          <w:rFonts w:hint="eastAsia"/>
          <w:color w:val="FF0000"/>
          <w:sz w:val="24"/>
        </w:rPr>
        <w:t>。</w:t>
      </w:r>
    </w:p>
    <w:p>
      <w:pPr>
        <w:pStyle w:val="4"/>
        <w:spacing w:before="120" w:after="160" w:line="360" w:lineRule="exact"/>
        <w:rPr>
          <w:rFonts w:eastAsia="黑体"/>
          <w:b w:val="0"/>
          <w:sz w:val="28"/>
          <w:szCs w:val="28"/>
        </w:rPr>
      </w:pPr>
      <w:bookmarkStart w:id="19" w:name="_Toc144974500"/>
      <w:bookmarkStart w:id="20" w:name="_Toc269310922"/>
      <w:bookmarkStart w:id="21" w:name="_Toc152045532"/>
      <w:bookmarkStart w:id="22" w:name="_Toc312072230"/>
      <w:bookmarkStart w:id="23" w:name="_Toc152042308"/>
      <w:r>
        <w:rPr>
          <w:rFonts w:eastAsia="黑体"/>
          <w:b w:val="0"/>
          <w:sz w:val="28"/>
          <w:szCs w:val="28"/>
        </w:rPr>
        <w:t>1.3 招标范围、工期</w:t>
      </w:r>
      <w:r>
        <w:rPr>
          <w:rFonts w:hint="eastAsia" w:eastAsia="黑体"/>
          <w:b w:val="0"/>
          <w:sz w:val="28"/>
          <w:szCs w:val="28"/>
        </w:rPr>
        <w:t>、</w:t>
      </w:r>
      <w:r>
        <w:rPr>
          <w:rFonts w:eastAsia="黑体"/>
          <w:b w:val="0"/>
          <w:sz w:val="28"/>
          <w:szCs w:val="28"/>
        </w:rPr>
        <w:t>质量</w:t>
      </w:r>
      <w:r>
        <w:rPr>
          <w:rFonts w:hint="eastAsia" w:eastAsia="黑体"/>
          <w:b w:val="0"/>
          <w:sz w:val="28"/>
          <w:szCs w:val="28"/>
        </w:rPr>
        <w:t>和安全</w:t>
      </w:r>
      <w:r>
        <w:rPr>
          <w:rFonts w:eastAsia="黑体"/>
          <w:b w:val="0"/>
          <w:sz w:val="28"/>
          <w:szCs w:val="28"/>
        </w:rPr>
        <w:t>要求</w:t>
      </w:r>
      <w:bookmarkEnd w:id="19"/>
      <w:bookmarkEnd w:id="20"/>
      <w:bookmarkEnd w:id="21"/>
      <w:bookmarkEnd w:id="22"/>
      <w:bookmarkEnd w:id="23"/>
    </w:p>
    <w:p>
      <w:pPr>
        <w:spacing w:line="360" w:lineRule="exact"/>
        <w:ind w:firstLine="480" w:firstLineChars="200"/>
        <w:rPr>
          <w:sz w:val="24"/>
        </w:rPr>
      </w:pPr>
      <w:r>
        <w:rPr>
          <w:sz w:val="24"/>
        </w:rPr>
        <w:t>1.3.1本项目招标范围见投标人须知前附表</w:t>
      </w:r>
      <w:r>
        <w:rPr>
          <w:rFonts w:hint="eastAsia"/>
          <w:sz w:val="24"/>
        </w:rPr>
        <w:t>；</w:t>
      </w:r>
    </w:p>
    <w:p>
      <w:pPr>
        <w:spacing w:line="360" w:lineRule="exact"/>
        <w:ind w:firstLine="480" w:firstLineChars="200"/>
        <w:rPr>
          <w:sz w:val="24"/>
        </w:rPr>
      </w:pPr>
      <w:r>
        <w:rPr>
          <w:sz w:val="24"/>
        </w:rPr>
        <w:t>1.3.</w:t>
      </w:r>
      <w:r>
        <w:rPr>
          <w:rFonts w:hint="eastAsia"/>
          <w:sz w:val="24"/>
        </w:rPr>
        <w:t>2</w:t>
      </w:r>
      <w:r>
        <w:rPr>
          <w:sz w:val="24"/>
        </w:rPr>
        <w:t>本项目</w:t>
      </w:r>
      <w:r>
        <w:rPr>
          <w:rFonts w:hint="eastAsia"/>
          <w:sz w:val="24"/>
        </w:rPr>
        <w:t>计划</w:t>
      </w:r>
      <w:r>
        <w:rPr>
          <w:sz w:val="24"/>
        </w:rPr>
        <w:t>工期见投标人须知前附表</w:t>
      </w:r>
      <w:r>
        <w:rPr>
          <w:rFonts w:hint="eastAsia"/>
          <w:sz w:val="24"/>
        </w:rPr>
        <w:t>；</w:t>
      </w:r>
    </w:p>
    <w:p>
      <w:pPr>
        <w:spacing w:line="360" w:lineRule="exact"/>
        <w:ind w:firstLine="480" w:firstLineChars="200"/>
        <w:rPr>
          <w:sz w:val="24"/>
        </w:rPr>
      </w:pPr>
      <w:r>
        <w:rPr>
          <w:sz w:val="24"/>
        </w:rPr>
        <w:t>1.3.</w:t>
      </w:r>
      <w:r>
        <w:rPr>
          <w:rFonts w:hint="eastAsia"/>
          <w:sz w:val="24"/>
        </w:rPr>
        <w:t>3</w:t>
      </w:r>
      <w:r>
        <w:rPr>
          <w:sz w:val="24"/>
        </w:rPr>
        <w:t>本项目质量要求见投标人须知前附表</w:t>
      </w:r>
      <w:r>
        <w:rPr>
          <w:rFonts w:hint="eastAsia"/>
          <w:sz w:val="24"/>
        </w:rPr>
        <w:t>；</w:t>
      </w:r>
    </w:p>
    <w:p>
      <w:pPr>
        <w:spacing w:line="360" w:lineRule="exact"/>
        <w:ind w:firstLine="480" w:firstLineChars="200"/>
        <w:rPr>
          <w:sz w:val="24"/>
        </w:rPr>
      </w:pPr>
      <w:r>
        <w:rPr>
          <w:sz w:val="24"/>
        </w:rPr>
        <w:t>1.3.</w:t>
      </w:r>
      <w:r>
        <w:rPr>
          <w:rFonts w:hint="eastAsia"/>
          <w:sz w:val="24"/>
        </w:rPr>
        <w:t>4</w:t>
      </w:r>
      <w:r>
        <w:rPr>
          <w:sz w:val="24"/>
        </w:rPr>
        <w:t>本项目</w:t>
      </w:r>
      <w:r>
        <w:rPr>
          <w:rFonts w:hint="eastAsia"/>
          <w:sz w:val="24"/>
        </w:rPr>
        <w:t>安全</w:t>
      </w:r>
      <w:r>
        <w:rPr>
          <w:sz w:val="24"/>
        </w:rPr>
        <w:t>要求见投标人须知前附表</w:t>
      </w:r>
      <w:r>
        <w:rPr>
          <w:rFonts w:hint="eastAsia"/>
          <w:sz w:val="24"/>
        </w:rPr>
        <w:t>。</w:t>
      </w:r>
    </w:p>
    <w:p>
      <w:pPr>
        <w:pStyle w:val="4"/>
        <w:spacing w:before="120" w:after="160" w:line="360" w:lineRule="exact"/>
        <w:rPr>
          <w:rFonts w:eastAsia="黑体"/>
          <w:b w:val="0"/>
          <w:sz w:val="28"/>
          <w:szCs w:val="28"/>
        </w:rPr>
      </w:pPr>
      <w:bookmarkStart w:id="24" w:name="_Toc269310923"/>
      <w:bookmarkStart w:id="25" w:name="_Toc312072231"/>
      <w:r>
        <w:rPr>
          <w:rFonts w:eastAsia="黑体"/>
          <w:b w:val="0"/>
          <w:sz w:val="28"/>
          <w:szCs w:val="28"/>
        </w:rPr>
        <w:t>1.4投标人资格要求</w:t>
      </w:r>
      <w:bookmarkEnd w:id="24"/>
      <w:bookmarkEnd w:id="25"/>
    </w:p>
    <w:p>
      <w:pPr>
        <w:spacing w:line="360" w:lineRule="exact"/>
        <w:ind w:firstLine="480" w:firstLineChars="200"/>
        <w:rPr>
          <w:sz w:val="24"/>
        </w:rPr>
      </w:pPr>
      <w:r>
        <w:rPr>
          <w:sz w:val="24"/>
        </w:rPr>
        <w:t>1.4.1</w:t>
      </w:r>
      <w:r>
        <w:rPr>
          <w:rFonts w:hint="eastAsia"/>
          <w:sz w:val="24"/>
        </w:rPr>
        <w:t>投标人应具备承担本工程施工的资质条件、能力和信誉。见投标人须知前附表。</w:t>
      </w:r>
    </w:p>
    <w:p>
      <w:pPr>
        <w:spacing w:line="360" w:lineRule="exact"/>
        <w:ind w:firstLine="480" w:firstLineChars="200"/>
        <w:rPr>
          <w:sz w:val="24"/>
        </w:rPr>
      </w:pPr>
      <w:r>
        <w:rPr>
          <w:rFonts w:hint="eastAsia"/>
          <w:sz w:val="24"/>
        </w:rPr>
        <w:t>1.4.2 投标人须知前附表规定接受联合体投标的，除应符合本章第1.4.1项和投标人须知前附表的要求外，还应遵守以下规定：</w:t>
      </w:r>
    </w:p>
    <w:p>
      <w:pPr>
        <w:spacing w:line="360" w:lineRule="exact"/>
        <w:ind w:firstLine="480" w:firstLineChars="200"/>
        <w:rPr>
          <w:sz w:val="24"/>
        </w:rPr>
      </w:pPr>
      <w:r>
        <w:rPr>
          <w:rFonts w:hint="eastAsia"/>
          <w:sz w:val="24"/>
        </w:rPr>
        <w:t>（1）联合体各方应按招标文件提供的格式签订联合体协议书，明确联合体牵头人和各方权利义务；</w:t>
      </w:r>
    </w:p>
    <w:p>
      <w:pPr>
        <w:spacing w:line="360" w:lineRule="exact"/>
        <w:ind w:firstLine="480" w:firstLineChars="200"/>
        <w:rPr>
          <w:sz w:val="24"/>
        </w:rPr>
      </w:pPr>
      <w:r>
        <w:rPr>
          <w:rFonts w:hint="eastAsia"/>
          <w:sz w:val="24"/>
        </w:rPr>
        <w:t>（2）由同一专业的单位组成的联合体，按照资质等级较低的单位确定资质等级；</w:t>
      </w:r>
    </w:p>
    <w:p>
      <w:pPr>
        <w:spacing w:line="360" w:lineRule="exact"/>
        <w:ind w:firstLine="480" w:firstLineChars="200"/>
        <w:rPr>
          <w:sz w:val="24"/>
        </w:rPr>
      </w:pPr>
      <w:r>
        <w:rPr>
          <w:rFonts w:hint="eastAsia"/>
          <w:sz w:val="24"/>
        </w:rPr>
        <w:t>（3）联合体各方不得再以自己名义单独或参加其他联合体在同一标段中投标。</w:t>
      </w:r>
    </w:p>
    <w:p>
      <w:pPr>
        <w:spacing w:line="360" w:lineRule="exact"/>
        <w:ind w:firstLine="480" w:firstLineChars="200"/>
        <w:rPr>
          <w:sz w:val="24"/>
        </w:rPr>
      </w:pPr>
      <w:r>
        <w:rPr>
          <w:sz w:val="24"/>
        </w:rPr>
        <w:t>1.4.</w:t>
      </w:r>
      <w:r>
        <w:rPr>
          <w:rFonts w:hint="eastAsia"/>
          <w:sz w:val="24"/>
        </w:rPr>
        <w:t xml:space="preserve">3 </w:t>
      </w:r>
      <w:r>
        <w:rPr>
          <w:sz w:val="24"/>
        </w:rPr>
        <w:t>投标人不得存在下列情形之一</w:t>
      </w:r>
      <w:r>
        <w:rPr>
          <w:rFonts w:hint="eastAsia"/>
          <w:sz w:val="24"/>
        </w:rPr>
        <w:t>。否则，评标委员会将否决其投标</w:t>
      </w:r>
      <w:r>
        <w:rPr>
          <w:sz w:val="24"/>
        </w:rPr>
        <w:t>：</w:t>
      </w:r>
    </w:p>
    <w:p>
      <w:pPr>
        <w:spacing w:line="360" w:lineRule="exact"/>
        <w:ind w:firstLine="480" w:firstLineChars="200"/>
        <w:rPr>
          <w:sz w:val="24"/>
        </w:rPr>
      </w:pPr>
      <w:r>
        <w:rPr>
          <w:sz w:val="24"/>
        </w:rPr>
        <w:t>1.4.</w:t>
      </w:r>
      <w:r>
        <w:rPr>
          <w:rFonts w:hint="eastAsia"/>
          <w:sz w:val="24"/>
        </w:rPr>
        <w:t>3</w:t>
      </w:r>
      <w:r>
        <w:rPr>
          <w:sz w:val="24"/>
        </w:rPr>
        <w:t>.1为招标人不具有独立法人资格的附属机构（单位）；</w:t>
      </w:r>
    </w:p>
    <w:p>
      <w:pPr>
        <w:spacing w:line="360" w:lineRule="exact"/>
        <w:ind w:firstLine="480" w:firstLineChars="200"/>
        <w:rPr>
          <w:sz w:val="24"/>
        </w:rPr>
      </w:pPr>
      <w:r>
        <w:rPr>
          <w:sz w:val="24"/>
        </w:rPr>
        <w:t>1.4.</w:t>
      </w:r>
      <w:r>
        <w:rPr>
          <w:rFonts w:hint="eastAsia"/>
          <w:sz w:val="24"/>
        </w:rPr>
        <w:t>3</w:t>
      </w:r>
      <w:r>
        <w:rPr>
          <w:sz w:val="24"/>
        </w:rPr>
        <w:t>.2为本项目前期提供设计或咨询服务的，但设计施工总承包的除外；</w:t>
      </w:r>
    </w:p>
    <w:p>
      <w:pPr>
        <w:spacing w:line="360" w:lineRule="exact"/>
        <w:ind w:firstLine="480" w:firstLineChars="200"/>
        <w:rPr>
          <w:sz w:val="24"/>
        </w:rPr>
      </w:pPr>
      <w:r>
        <w:rPr>
          <w:sz w:val="24"/>
        </w:rPr>
        <w:t>1.4.</w:t>
      </w:r>
      <w:r>
        <w:rPr>
          <w:rFonts w:hint="eastAsia"/>
          <w:sz w:val="24"/>
        </w:rPr>
        <w:t>3</w:t>
      </w:r>
      <w:r>
        <w:rPr>
          <w:sz w:val="24"/>
        </w:rPr>
        <w:t>.3为本项目的监理人；</w:t>
      </w:r>
    </w:p>
    <w:p>
      <w:pPr>
        <w:spacing w:line="360" w:lineRule="exact"/>
        <w:ind w:firstLine="480" w:firstLineChars="200"/>
        <w:rPr>
          <w:sz w:val="24"/>
        </w:rPr>
      </w:pPr>
      <w:r>
        <w:rPr>
          <w:sz w:val="24"/>
        </w:rPr>
        <w:t>1.4.</w:t>
      </w:r>
      <w:r>
        <w:rPr>
          <w:rFonts w:hint="eastAsia"/>
          <w:sz w:val="24"/>
        </w:rPr>
        <w:t>3</w:t>
      </w:r>
      <w:r>
        <w:rPr>
          <w:sz w:val="24"/>
        </w:rPr>
        <w:t>.4为本项目的代建人；</w:t>
      </w:r>
    </w:p>
    <w:p>
      <w:pPr>
        <w:spacing w:line="360" w:lineRule="exact"/>
        <w:ind w:firstLine="480" w:firstLineChars="200"/>
        <w:rPr>
          <w:sz w:val="24"/>
        </w:rPr>
      </w:pPr>
      <w:r>
        <w:rPr>
          <w:sz w:val="24"/>
        </w:rPr>
        <w:t>1.4.</w:t>
      </w:r>
      <w:r>
        <w:rPr>
          <w:rFonts w:hint="eastAsia"/>
          <w:sz w:val="24"/>
        </w:rPr>
        <w:t>3</w:t>
      </w:r>
      <w:r>
        <w:rPr>
          <w:sz w:val="24"/>
        </w:rPr>
        <w:t>.5为本项目提供招标代理服务的；</w:t>
      </w:r>
    </w:p>
    <w:p>
      <w:pPr>
        <w:spacing w:line="360" w:lineRule="exact"/>
        <w:ind w:firstLine="480" w:firstLineChars="200"/>
        <w:rPr>
          <w:sz w:val="24"/>
        </w:rPr>
      </w:pPr>
      <w:r>
        <w:rPr>
          <w:sz w:val="24"/>
        </w:rPr>
        <w:t>1.4.</w:t>
      </w:r>
      <w:r>
        <w:rPr>
          <w:rFonts w:hint="eastAsia"/>
          <w:sz w:val="24"/>
        </w:rPr>
        <w:t>3</w:t>
      </w:r>
      <w:r>
        <w:rPr>
          <w:sz w:val="24"/>
        </w:rPr>
        <w:t>.6与本项目的监理人或代建人或招标代理机构为同一法定代表人的；</w:t>
      </w:r>
    </w:p>
    <w:p>
      <w:pPr>
        <w:spacing w:line="360" w:lineRule="exact"/>
        <w:ind w:firstLine="480" w:firstLineChars="200"/>
        <w:rPr>
          <w:sz w:val="24"/>
        </w:rPr>
      </w:pPr>
      <w:r>
        <w:rPr>
          <w:sz w:val="24"/>
        </w:rPr>
        <w:t>1.4.</w:t>
      </w:r>
      <w:r>
        <w:rPr>
          <w:rFonts w:hint="eastAsia"/>
          <w:sz w:val="24"/>
        </w:rPr>
        <w:t>3</w:t>
      </w:r>
      <w:r>
        <w:rPr>
          <w:sz w:val="24"/>
        </w:rPr>
        <w:t>.7与本项目的监理人或代建人或招标代理机构相互控股或参股的；</w:t>
      </w:r>
    </w:p>
    <w:p>
      <w:pPr>
        <w:spacing w:line="360" w:lineRule="exact"/>
        <w:ind w:firstLine="480" w:firstLineChars="200"/>
        <w:rPr>
          <w:sz w:val="24"/>
        </w:rPr>
      </w:pPr>
      <w:r>
        <w:rPr>
          <w:sz w:val="24"/>
        </w:rPr>
        <w:t>1.4.</w:t>
      </w:r>
      <w:r>
        <w:rPr>
          <w:rFonts w:hint="eastAsia"/>
          <w:sz w:val="24"/>
        </w:rPr>
        <w:t>3</w:t>
      </w:r>
      <w:r>
        <w:rPr>
          <w:sz w:val="24"/>
        </w:rPr>
        <w:t>.8与本项目的监理人或代建人或招标代理机构相互任职或工作的；</w:t>
      </w:r>
    </w:p>
    <w:p>
      <w:pPr>
        <w:spacing w:line="360" w:lineRule="exact"/>
        <w:ind w:firstLine="480" w:firstLineChars="200"/>
        <w:rPr>
          <w:sz w:val="24"/>
        </w:rPr>
      </w:pPr>
      <w:r>
        <w:rPr>
          <w:sz w:val="24"/>
        </w:rPr>
        <w:t>1.4.</w:t>
      </w:r>
      <w:r>
        <w:rPr>
          <w:rFonts w:hint="eastAsia"/>
          <w:sz w:val="24"/>
        </w:rPr>
        <w:t>3</w:t>
      </w:r>
      <w:r>
        <w:rPr>
          <w:sz w:val="24"/>
        </w:rPr>
        <w:t>.</w:t>
      </w:r>
      <w:r>
        <w:rPr>
          <w:rFonts w:hint="eastAsia"/>
          <w:sz w:val="24"/>
        </w:rPr>
        <w:t>9 被责令停业的；</w:t>
      </w:r>
    </w:p>
    <w:p>
      <w:pPr>
        <w:spacing w:line="360" w:lineRule="exact"/>
        <w:ind w:firstLine="480" w:firstLineChars="200"/>
        <w:rPr>
          <w:sz w:val="24"/>
        </w:rPr>
      </w:pPr>
      <w:r>
        <w:rPr>
          <w:sz w:val="24"/>
        </w:rPr>
        <w:t>1.4.</w:t>
      </w:r>
      <w:r>
        <w:rPr>
          <w:rFonts w:hint="eastAsia"/>
          <w:sz w:val="24"/>
        </w:rPr>
        <w:t>3</w:t>
      </w:r>
      <w:r>
        <w:rPr>
          <w:sz w:val="24"/>
        </w:rPr>
        <w:t>.</w:t>
      </w:r>
      <w:r>
        <w:rPr>
          <w:rFonts w:hint="eastAsia"/>
          <w:sz w:val="24"/>
        </w:rPr>
        <w:t>10 被暂停或取消投标资格的；</w:t>
      </w:r>
    </w:p>
    <w:p>
      <w:pPr>
        <w:spacing w:line="360" w:lineRule="exact"/>
        <w:ind w:firstLine="480" w:firstLineChars="200"/>
        <w:rPr>
          <w:sz w:val="24"/>
        </w:rPr>
      </w:pPr>
      <w:r>
        <w:rPr>
          <w:sz w:val="24"/>
        </w:rPr>
        <w:t>1.4.</w:t>
      </w:r>
      <w:r>
        <w:rPr>
          <w:rFonts w:hint="eastAsia"/>
          <w:sz w:val="24"/>
        </w:rPr>
        <w:t>3</w:t>
      </w:r>
      <w:r>
        <w:rPr>
          <w:sz w:val="24"/>
        </w:rPr>
        <w:t>.</w:t>
      </w:r>
      <w:r>
        <w:rPr>
          <w:rFonts w:hint="eastAsia"/>
          <w:sz w:val="24"/>
        </w:rPr>
        <w:t>11 财产被接管或冻结的；</w:t>
      </w:r>
    </w:p>
    <w:p>
      <w:pPr>
        <w:spacing w:line="360" w:lineRule="exact"/>
        <w:ind w:firstLine="480" w:firstLineChars="200"/>
        <w:rPr>
          <w:sz w:val="24"/>
        </w:rPr>
      </w:pPr>
      <w:r>
        <w:rPr>
          <w:sz w:val="24"/>
        </w:rPr>
        <w:t>1.4.</w:t>
      </w:r>
      <w:r>
        <w:rPr>
          <w:rFonts w:hint="eastAsia"/>
          <w:sz w:val="24"/>
        </w:rPr>
        <w:t>3</w:t>
      </w:r>
      <w:r>
        <w:rPr>
          <w:sz w:val="24"/>
        </w:rPr>
        <w:t>.</w:t>
      </w:r>
      <w:r>
        <w:rPr>
          <w:rFonts w:hint="eastAsia"/>
          <w:sz w:val="24"/>
        </w:rPr>
        <w:t xml:space="preserve">12 </w:t>
      </w:r>
      <w:r>
        <w:rPr>
          <w:sz w:val="24"/>
        </w:rPr>
        <w:t>在最近三年内有骗取中标或严重违约或重大工程质量问题的。</w:t>
      </w:r>
    </w:p>
    <w:p>
      <w:pPr>
        <w:pStyle w:val="4"/>
        <w:spacing w:before="120" w:after="160" w:line="360" w:lineRule="exact"/>
        <w:rPr>
          <w:rFonts w:eastAsia="黑体"/>
          <w:b w:val="0"/>
          <w:sz w:val="28"/>
          <w:szCs w:val="28"/>
        </w:rPr>
      </w:pPr>
      <w:bookmarkStart w:id="26" w:name="_Toc144974503"/>
      <w:bookmarkStart w:id="27" w:name="_Toc152042311"/>
      <w:bookmarkStart w:id="28" w:name="_Toc269310924"/>
      <w:bookmarkStart w:id="29" w:name="_Toc312072232"/>
      <w:bookmarkStart w:id="30" w:name="_Toc152045535"/>
      <w:r>
        <w:rPr>
          <w:rFonts w:eastAsia="黑体"/>
          <w:b w:val="0"/>
          <w:sz w:val="28"/>
          <w:szCs w:val="28"/>
        </w:rPr>
        <w:t>1.5 费用承担</w:t>
      </w:r>
      <w:bookmarkEnd w:id="26"/>
      <w:bookmarkEnd w:id="27"/>
      <w:bookmarkEnd w:id="28"/>
      <w:bookmarkEnd w:id="29"/>
      <w:bookmarkEnd w:id="30"/>
    </w:p>
    <w:p>
      <w:pPr>
        <w:spacing w:line="360" w:lineRule="exact"/>
        <w:ind w:firstLine="480" w:firstLineChars="200"/>
        <w:rPr>
          <w:sz w:val="24"/>
        </w:rPr>
      </w:pPr>
      <w:r>
        <w:rPr>
          <w:sz w:val="24"/>
        </w:rPr>
        <w:t>1.5.1投标人准备和参加投标活动发生的费用自理。</w:t>
      </w:r>
    </w:p>
    <w:p>
      <w:pPr>
        <w:spacing w:line="360" w:lineRule="exact"/>
        <w:ind w:firstLine="482" w:firstLineChars="200"/>
        <w:rPr>
          <w:rFonts w:hAnsi="宋体"/>
          <w:b/>
          <w:color w:val="FF0000"/>
          <w:sz w:val="24"/>
        </w:rPr>
      </w:pPr>
      <w:bookmarkStart w:id="31" w:name="_Toc152045536"/>
      <w:bookmarkStart w:id="32" w:name="_Toc312072233"/>
      <w:bookmarkStart w:id="33" w:name="_Toc269310925"/>
      <w:bookmarkStart w:id="34" w:name="_Toc152042312"/>
      <w:bookmarkStart w:id="35" w:name="_Toc144974504"/>
      <w:r>
        <w:rPr>
          <w:rFonts w:hAnsi="宋体"/>
          <w:b/>
          <w:color w:val="FF0000"/>
          <w:sz w:val="24"/>
          <w:highlight w:val="yellow"/>
          <w:u w:val="single"/>
        </w:rPr>
        <w:t>1.5.2</w:t>
      </w:r>
      <w:r>
        <w:rPr>
          <w:rFonts w:hint="eastAsia" w:hAnsi="宋体"/>
          <w:b/>
          <w:color w:val="FF0000"/>
          <w:sz w:val="24"/>
          <w:highlight w:val="yellow"/>
          <w:u w:val="single"/>
        </w:rPr>
        <w:t>依据本项目《工程建设招标代理合同》约定，</w:t>
      </w:r>
      <w:r>
        <w:rPr>
          <w:rFonts w:hint="eastAsia" w:hAnsi="宋体"/>
          <w:b/>
          <w:color w:val="FF0000"/>
          <w:sz w:val="24"/>
          <w:highlight w:val="yellow"/>
        </w:rPr>
        <w:t>招标代理费：</w:t>
      </w:r>
      <w:r>
        <w:rPr>
          <w:rFonts w:hint="eastAsia" w:hAnsi="宋体"/>
          <w:b/>
          <w:color w:val="FF0000"/>
          <w:sz w:val="24"/>
          <w:highlight w:val="yellow"/>
          <w:u w:val="single"/>
        </w:rPr>
        <w:t xml:space="preserve">      元，</w:t>
      </w:r>
      <w:r>
        <w:rPr>
          <w:rFonts w:hint="eastAsia" w:hAnsi="宋体"/>
          <w:b/>
          <w:color w:val="FF0000"/>
          <w:sz w:val="24"/>
          <w:highlight w:val="yellow"/>
        </w:rPr>
        <w:t>由中标人支付</w:t>
      </w:r>
      <w:r>
        <w:rPr>
          <w:rFonts w:hint="eastAsia" w:hAnsi="宋体"/>
          <w:b/>
          <w:color w:val="FF0000"/>
          <w:sz w:val="24"/>
        </w:rPr>
        <w:t>。</w:t>
      </w:r>
      <w:r>
        <w:rPr>
          <w:rFonts w:hint="eastAsia" w:hAnsi="宋体"/>
          <w:b/>
          <w:color w:val="FF0000"/>
          <w:sz w:val="24"/>
          <w:highlight w:val="yellow"/>
          <w:u w:val="single"/>
        </w:rPr>
        <w:t>（招标代理费约定由中标人支付时，设置本条款；否则，取消本条款）</w:t>
      </w:r>
      <w:r>
        <w:rPr>
          <w:rFonts w:hint="eastAsia" w:hAnsi="宋体"/>
          <w:b/>
          <w:color w:val="FF0000"/>
          <w:sz w:val="24"/>
        </w:rPr>
        <w:t>。</w:t>
      </w:r>
    </w:p>
    <w:p>
      <w:pPr>
        <w:pStyle w:val="4"/>
        <w:spacing w:before="120" w:after="160" w:line="360" w:lineRule="exact"/>
        <w:rPr>
          <w:rFonts w:eastAsia="黑体"/>
          <w:b w:val="0"/>
          <w:sz w:val="28"/>
          <w:szCs w:val="28"/>
        </w:rPr>
      </w:pPr>
      <w:r>
        <w:rPr>
          <w:rFonts w:eastAsia="黑体"/>
          <w:b w:val="0"/>
          <w:sz w:val="28"/>
          <w:szCs w:val="28"/>
        </w:rPr>
        <w:t>1.6 保密</w:t>
      </w:r>
      <w:bookmarkEnd w:id="31"/>
      <w:bookmarkEnd w:id="32"/>
      <w:bookmarkEnd w:id="33"/>
      <w:bookmarkEnd w:id="34"/>
      <w:bookmarkEnd w:id="35"/>
    </w:p>
    <w:p>
      <w:pPr>
        <w:spacing w:line="360" w:lineRule="exact"/>
        <w:ind w:firstLine="480" w:firstLineChars="200"/>
        <w:rPr>
          <w:sz w:val="24"/>
        </w:rPr>
      </w:pPr>
      <w:r>
        <w:rPr>
          <w:sz w:val="24"/>
        </w:rPr>
        <w:t xml:space="preserve">1.6.1参与招标投标活动的各方应对招标文件和投标文件中的商业和技术等秘密保密，违者应对由此造成的后果承担法律责任。 </w:t>
      </w:r>
    </w:p>
    <w:p>
      <w:pPr>
        <w:pStyle w:val="4"/>
        <w:spacing w:before="120" w:after="160" w:line="360" w:lineRule="exact"/>
        <w:rPr>
          <w:rFonts w:eastAsia="黑体"/>
          <w:b w:val="0"/>
          <w:sz w:val="28"/>
          <w:szCs w:val="28"/>
        </w:rPr>
      </w:pPr>
      <w:bookmarkStart w:id="36" w:name="_Toc144974505"/>
      <w:bookmarkStart w:id="37" w:name="_Toc269310926"/>
      <w:bookmarkStart w:id="38" w:name="_Toc152045537"/>
      <w:bookmarkStart w:id="39" w:name="_Toc312072234"/>
      <w:bookmarkStart w:id="40" w:name="_Toc152042313"/>
      <w:r>
        <w:rPr>
          <w:rFonts w:eastAsia="黑体"/>
          <w:b w:val="0"/>
          <w:sz w:val="28"/>
          <w:szCs w:val="28"/>
        </w:rPr>
        <w:t>1.7 语言</w:t>
      </w:r>
      <w:bookmarkEnd w:id="36"/>
      <w:r>
        <w:rPr>
          <w:rFonts w:eastAsia="黑体"/>
          <w:b w:val="0"/>
          <w:sz w:val="28"/>
          <w:szCs w:val="28"/>
        </w:rPr>
        <w:t>文字</w:t>
      </w:r>
      <w:bookmarkEnd w:id="37"/>
      <w:bookmarkEnd w:id="38"/>
      <w:bookmarkEnd w:id="39"/>
      <w:bookmarkEnd w:id="40"/>
    </w:p>
    <w:p>
      <w:pPr>
        <w:spacing w:line="360" w:lineRule="exact"/>
        <w:ind w:firstLine="480" w:firstLineChars="200"/>
        <w:rPr>
          <w:sz w:val="24"/>
        </w:rPr>
      </w:pPr>
      <w:r>
        <w:rPr>
          <w:sz w:val="24"/>
        </w:rPr>
        <w:t>1.7.1除专用术语外，与招标投标有关的语言均使用简体中文。必要时专用术语应附有简体中文注释。</w:t>
      </w:r>
    </w:p>
    <w:p>
      <w:pPr>
        <w:pStyle w:val="4"/>
        <w:spacing w:before="120" w:after="160" w:line="360" w:lineRule="exact"/>
        <w:rPr>
          <w:rFonts w:eastAsia="黑体"/>
          <w:b w:val="0"/>
          <w:sz w:val="28"/>
          <w:szCs w:val="28"/>
        </w:rPr>
      </w:pPr>
      <w:bookmarkStart w:id="41" w:name="_Toc144974506"/>
      <w:bookmarkStart w:id="42" w:name="_Toc152042314"/>
      <w:bookmarkStart w:id="43" w:name="_Toc269310927"/>
      <w:bookmarkStart w:id="44" w:name="_Toc152045538"/>
      <w:bookmarkStart w:id="45" w:name="_Toc312072235"/>
      <w:r>
        <w:rPr>
          <w:rFonts w:eastAsia="黑体"/>
          <w:b w:val="0"/>
          <w:sz w:val="28"/>
          <w:szCs w:val="28"/>
        </w:rPr>
        <w:t>1.8计量单位</w:t>
      </w:r>
      <w:bookmarkEnd w:id="41"/>
      <w:bookmarkEnd w:id="42"/>
      <w:bookmarkEnd w:id="43"/>
      <w:bookmarkEnd w:id="44"/>
      <w:bookmarkEnd w:id="45"/>
    </w:p>
    <w:p>
      <w:pPr>
        <w:spacing w:line="360" w:lineRule="exact"/>
        <w:ind w:firstLine="480" w:firstLineChars="200"/>
        <w:rPr>
          <w:sz w:val="24"/>
        </w:rPr>
      </w:pPr>
      <w:r>
        <w:rPr>
          <w:sz w:val="24"/>
        </w:rPr>
        <w:t>1.8.1所有计量均采用中华人民共和国法定计量单位。</w:t>
      </w:r>
    </w:p>
    <w:p>
      <w:pPr>
        <w:pStyle w:val="4"/>
        <w:spacing w:before="120" w:after="160" w:line="360" w:lineRule="exact"/>
        <w:rPr>
          <w:rFonts w:eastAsia="黑体"/>
          <w:b w:val="0"/>
          <w:sz w:val="28"/>
          <w:szCs w:val="28"/>
        </w:rPr>
      </w:pPr>
      <w:bookmarkStart w:id="46" w:name="_Toc152045539"/>
      <w:bookmarkStart w:id="47" w:name="_Toc269310928"/>
      <w:bookmarkStart w:id="48" w:name="_Toc312072236"/>
      <w:bookmarkStart w:id="49" w:name="_Toc144974507"/>
      <w:bookmarkStart w:id="50" w:name="_Toc152042315"/>
      <w:r>
        <w:rPr>
          <w:rFonts w:eastAsia="黑体"/>
          <w:b w:val="0"/>
          <w:sz w:val="28"/>
          <w:szCs w:val="28"/>
        </w:rPr>
        <w:t>1.9 踏勘现场</w:t>
      </w:r>
      <w:bookmarkEnd w:id="46"/>
      <w:bookmarkEnd w:id="47"/>
      <w:bookmarkEnd w:id="48"/>
      <w:bookmarkEnd w:id="49"/>
      <w:bookmarkEnd w:id="50"/>
    </w:p>
    <w:p>
      <w:pPr>
        <w:spacing w:line="360" w:lineRule="exact"/>
        <w:ind w:firstLine="480" w:firstLineChars="200"/>
        <w:rPr>
          <w:sz w:val="24"/>
        </w:rPr>
      </w:pPr>
      <w:r>
        <w:rPr>
          <w:sz w:val="24"/>
        </w:rPr>
        <w:t>1.9.1</w:t>
      </w:r>
      <w:r>
        <w:rPr>
          <w:rFonts w:hint="eastAsia"/>
          <w:sz w:val="24"/>
        </w:rPr>
        <w:t>不统一组织踏勘现场，投标人可根据需要自行到项目现场进行踏勘。</w:t>
      </w:r>
    </w:p>
    <w:p>
      <w:pPr>
        <w:spacing w:line="360" w:lineRule="exact"/>
        <w:ind w:firstLine="480" w:firstLineChars="200"/>
        <w:rPr>
          <w:sz w:val="24"/>
        </w:rPr>
      </w:pPr>
      <w:r>
        <w:rPr>
          <w:sz w:val="24"/>
        </w:rPr>
        <w:t>1.9.2 投标人踏勘现场发生的费用自理。</w:t>
      </w:r>
    </w:p>
    <w:p>
      <w:pPr>
        <w:spacing w:line="360" w:lineRule="exact"/>
        <w:ind w:firstLine="480" w:firstLineChars="200"/>
        <w:rPr>
          <w:sz w:val="24"/>
        </w:rPr>
      </w:pPr>
      <w:r>
        <w:rPr>
          <w:sz w:val="24"/>
        </w:rPr>
        <w:t>1.9.</w:t>
      </w:r>
      <w:r>
        <w:rPr>
          <w:rFonts w:hint="eastAsia"/>
          <w:sz w:val="24"/>
        </w:rPr>
        <w:t>3</w:t>
      </w:r>
      <w:r>
        <w:rPr>
          <w:sz w:val="24"/>
        </w:rPr>
        <w:t xml:space="preserve"> 招标人在踏勘现场中介绍的工程场地和相关的周边环境情况，供投标人在编制投标文件时参考，招标人不对投标人据此作出的判断和决策负责。</w:t>
      </w:r>
    </w:p>
    <w:p>
      <w:pPr>
        <w:pStyle w:val="4"/>
        <w:spacing w:before="120" w:after="160" w:line="300" w:lineRule="exact"/>
        <w:rPr>
          <w:rFonts w:eastAsia="黑体"/>
          <w:b w:val="0"/>
          <w:sz w:val="28"/>
          <w:szCs w:val="28"/>
        </w:rPr>
      </w:pPr>
      <w:bookmarkStart w:id="51" w:name="_Toc152042316"/>
      <w:bookmarkStart w:id="52" w:name="_Toc144974508"/>
      <w:bookmarkStart w:id="53" w:name="_Toc269310929"/>
      <w:bookmarkStart w:id="54" w:name="_Toc312072237"/>
      <w:bookmarkStart w:id="55" w:name="_Toc152045540"/>
      <w:r>
        <w:rPr>
          <w:rFonts w:eastAsia="黑体"/>
          <w:b w:val="0"/>
          <w:sz w:val="28"/>
          <w:szCs w:val="28"/>
        </w:rPr>
        <w:t>1.10 投标预备会</w:t>
      </w:r>
      <w:bookmarkEnd w:id="51"/>
      <w:bookmarkEnd w:id="52"/>
      <w:bookmarkEnd w:id="53"/>
      <w:bookmarkEnd w:id="54"/>
      <w:bookmarkEnd w:id="55"/>
    </w:p>
    <w:p>
      <w:pPr>
        <w:spacing w:line="360" w:lineRule="exact"/>
        <w:ind w:firstLine="480" w:firstLineChars="200"/>
        <w:rPr>
          <w:sz w:val="24"/>
        </w:rPr>
      </w:pPr>
      <w:r>
        <w:rPr>
          <w:rFonts w:hint="eastAsia"/>
          <w:sz w:val="24"/>
        </w:rPr>
        <w:t>不召开。</w:t>
      </w:r>
    </w:p>
    <w:p>
      <w:pPr>
        <w:pStyle w:val="4"/>
        <w:spacing w:before="120" w:after="160" w:line="300" w:lineRule="exact"/>
        <w:rPr>
          <w:rFonts w:eastAsia="黑体"/>
          <w:b w:val="0"/>
          <w:sz w:val="28"/>
          <w:szCs w:val="28"/>
        </w:rPr>
      </w:pPr>
      <w:bookmarkStart w:id="56" w:name="_Toc312072238"/>
      <w:r>
        <w:rPr>
          <w:rFonts w:eastAsia="黑体"/>
          <w:b w:val="0"/>
          <w:sz w:val="28"/>
          <w:szCs w:val="28"/>
        </w:rPr>
        <w:t>1.1</w:t>
      </w:r>
      <w:r>
        <w:rPr>
          <w:rFonts w:hint="eastAsia" w:eastAsia="黑体"/>
          <w:b w:val="0"/>
          <w:sz w:val="28"/>
          <w:szCs w:val="28"/>
        </w:rPr>
        <w:t>1分包</w:t>
      </w:r>
      <w:bookmarkEnd w:id="56"/>
    </w:p>
    <w:p>
      <w:pPr>
        <w:spacing w:line="360" w:lineRule="exact"/>
        <w:ind w:firstLine="480" w:firstLineChars="200"/>
        <w:rPr>
          <w:sz w:val="24"/>
        </w:rPr>
      </w:pPr>
      <w:r>
        <w:rPr>
          <w:rFonts w:hint="eastAsia"/>
          <w:sz w:val="24"/>
        </w:rPr>
        <w:t>投标人拟在中标后将中标项目的部分非主体、非关键性工程进行分包的，应符合投标人须知前附表规定的分包内容、分包金额和接受分包的第三人资质要求等限制性条件。</w:t>
      </w:r>
    </w:p>
    <w:p>
      <w:pPr>
        <w:pStyle w:val="4"/>
        <w:spacing w:before="120" w:after="160" w:line="300" w:lineRule="exact"/>
        <w:rPr>
          <w:rFonts w:eastAsia="黑体"/>
          <w:b w:val="0"/>
          <w:sz w:val="28"/>
          <w:szCs w:val="28"/>
        </w:rPr>
      </w:pPr>
      <w:bookmarkStart w:id="57" w:name="_Toc312072239"/>
      <w:r>
        <w:rPr>
          <w:rFonts w:eastAsia="黑体"/>
          <w:b w:val="0"/>
          <w:sz w:val="28"/>
          <w:szCs w:val="28"/>
        </w:rPr>
        <w:t>1.1</w:t>
      </w:r>
      <w:r>
        <w:rPr>
          <w:rFonts w:hint="eastAsia" w:eastAsia="黑体"/>
          <w:b w:val="0"/>
          <w:sz w:val="28"/>
          <w:szCs w:val="28"/>
        </w:rPr>
        <w:t>2偏离</w:t>
      </w:r>
      <w:bookmarkEnd w:id="57"/>
    </w:p>
    <w:p>
      <w:pPr>
        <w:spacing w:line="360" w:lineRule="exact"/>
        <w:ind w:firstLine="480" w:firstLineChars="200"/>
        <w:rPr>
          <w:sz w:val="24"/>
        </w:rPr>
      </w:pPr>
      <w:r>
        <w:rPr>
          <w:rFonts w:hint="eastAsia"/>
          <w:sz w:val="24"/>
        </w:rPr>
        <w:t>投标人须知前附表允许投标文件偏离招标文件某些要求的，偏离应当符合招标文件规定的偏离范围和幅度。</w:t>
      </w:r>
    </w:p>
    <w:p>
      <w:pPr>
        <w:pStyle w:val="66"/>
        <w:spacing w:before="120" w:after="240" w:line="300" w:lineRule="exact"/>
        <w:rPr>
          <w:rFonts w:cs="Times New Roman"/>
          <w:sz w:val="30"/>
          <w:szCs w:val="30"/>
        </w:rPr>
      </w:pPr>
      <w:bookmarkStart w:id="58" w:name="_Toc152045542"/>
      <w:bookmarkStart w:id="59" w:name="_Toc312072240"/>
      <w:bookmarkStart w:id="60" w:name="_Toc152042318"/>
      <w:bookmarkStart w:id="61" w:name="_Toc269310930"/>
      <w:bookmarkStart w:id="62" w:name="_Toc144974510"/>
      <w:r>
        <w:rPr>
          <w:rFonts w:cs="Times New Roman"/>
          <w:sz w:val="30"/>
          <w:szCs w:val="30"/>
        </w:rPr>
        <w:t>2. 招标文件</w:t>
      </w:r>
      <w:bookmarkEnd w:id="58"/>
      <w:bookmarkEnd w:id="59"/>
      <w:bookmarkEnd w:id="60"/>
      <w:bookmarkEnd w:id="61"/>
      <w:bookmarkEnd w:id="62"/>
    </w:p>
    <w:p>
      <w:pPr>
        <w:pStyle w:val="4"/>
        <w:spacing w:before="120" w:after="160" w:line="300" w:lineRule="exact"/>
        <w:rPr>
          <w:rFonts w:eastAsia="黑体"/>
          <w:b w:val="0"/>
          <w:sz w:val="28"/>
          <w:szCs w:val="28"/>
        </w:rPr>
      </w:pPr>
      <w:bookmarkStart w:id="63" w:name="_Toc152042319"/>
      <w:bookmarkStart w:id="64" w:name="_Toc312072241"/>
      <w:bookmarkStart w:id="65" w:name="_Toc269310931"/>
      <w:bookmarkStart w:id="66" w:name="_Toc152045543"/>
      <w:bookmarkStart w:id="67" w:name="_Toc144974511"/>
      <w:r>
        <w:rPr>
          <w:rFonts w:eastAsia="黑体"/>
          <w:b w:val="0"/>
          <w:sz w:val="28"/>
          <w:szCs w:val="28"/>
        </w:rPr>
        <w:t>2.1 招标文件的组成</w:t>
      </w:r>
      <w:bookmarkEnd w:id="63"/>
      <w:bookmarkEnd w:id="64"/>
      <w:bookmarkEnd w:id="65"/>
      <w:bookmarkEnd w:id="66"/>
      <w:bookmarkEnd w:id="67"/>
    </w:p>
    <w:p>
      <w:pPr>
        <w:shd w:val="clear" w:color="auto" w:fill="FFFFFF"/>
        <w:autoSpaceDE w:val="0"/>
        <w:autoSpaceDN w:val="0"/>
        <w:adjustRightInd w:val="0"/>
        <w:spacing w:line="360" w:lineRule="exact"/>
        <w:ind w:firstLine="480" w:firstLineChars="200"/>
        <w:jc w:val="left"/>
        <w:rPr>
          <w:sz w:val="24"/>
        </w:rPr>
      </w:pPr>
      <w:r>
        <w:rPr>
          <w:sz w:val="24"/>
        </w:rPr>
        <w:t>本次招标项目的招标文件</w:t>
      </w:r>
      <w:r>
        <w:rPr>
          <w:rFonts w:hint="eastAsia"/>
          <w:sz w:val="24"/>
        </w:rPr>
        <w:t>包含以下部分：</w:t>
      </w:r>
    </w:p>
    <w:p>
      <w:pPr>
        <w:spacing w:line="360" w:lineRule="exact"/>
        <w:ind w:firstLine="480" w:firstLineChars="200"/>
        <w:rPr>
          <w:sz w:val="24"/>
        </w:rPr>
      </w:pPr>
      <w:r>
        <w:rPr>
          <w:rFonts w:hint="eastAsia"/>
          <w:sz w:val="24"/>
        </w:rPr>
        <w:t>（1）招标公告；</w:t>
      </w:r>
    </w:p>
    <w:p>
      <w:pPr>
        <w:spacing w:line="360" w:lineRule="exact"/>
        <w:ind w:firstLine="480" w:firstLineChars="200"/>
        <w:rPr>
          <w:sz w:val="24"/>
        </w:rPr>
      </w:pPr>
      <w:r>
        <w:rPr>
          <w:rFonts w:hint="eastAsia"/>
          <w:sz w:val="24"/>
        </w:rPr>
        <w:t>（2）投标人须知；</w:t>
      </w:r>
    </w:p>
    <w:p>
      <w:pPr>
        <w:spacing w:line="360" w:lineRule="exact"/>
        <w:ind w:firstLine="480" w:firstLineChars="200"/>
        <w:rPr>
          <w:sz w:val="24"/>
        </w:rPr>
      </w:pPr>
      <w:r>
        <w:rPr>
          <w:rFonts w:hint="eastAsia"/>
          <w:sz w:val="24"/>
        </w:rPr>
        <w:t>（3）评标标准；</w:t>
      </w:r>
    </w:p>
    <w:p>
      <w:pPr>
        <w:spacing w:line="360" w:lineRule="exact"/>
        <w:ind w:firstLine="480" w:firstLineChars="200"/>
        <w:rPr>
          <w:sz w:val="24"/>
        </w:rPr>
      </w:pPr>
      <w:r>
        <w:rPr>
          <w:rFonts w:hint="eastAsia"/>
          <w:sz w:val="24"/>
        </w:rPr>
        <w:t>（4）合同条款及格式；</w:t>
      </w:r>
    </w:p>
    <w:p>
      <w:pPr>
        <w:spacing w:line="360" w:lineRule="exact"/>
        <w:ind w:firstLine="480" w:firstLineChars="200"/>
        <w:rPr>
          <w:sz w:val="24"/>
        </w:rPr>
      </w:pPr>
      <w:r>
        <w:rPr>
          <w:rFonts w:hint="eastAsia"/>
          <w:sz w:val="24"/>
        </w:rPr>
        <w:t>（5）工程量清单；</w:t>
      </w:r>
    </w:p>
    <w:p>
      <w:pPr>
        <w:spacing w:line="360" w:lineRule="exact"/>
        <w:ind w:firstLine="480" w:firstLineChars="200"/>
        <w:rPr>
          <w:sz w:val="24"/>
        </w:rPr>
      </w:pPr>
      <w:r>
        <w:rPr>
          <w:rFonts w:hint="eastAsia"/>
          <w:sz w:val="24"/>
        </w:rPr>
        <w:t>（6）图纸；</w:t>
      </w:r>
    </w:p>
    <w:p>
      <w:pPr>
        <w:spacing w:line="360" w:lineRule="exact"/>
        <w:ind w:firstLine="480" w:firstLineChars="200"/>
        <w:rPr>
          <w:sz w:val="24"/>
        </w:rPr>
      </w:pPr>
      <w:r>
        <w:rPr>
          <w:rFonts w:hint="eastAsia"/>
          <w:sz w:val="24"/>
        </w:rPr>
        <w:t>（7）技术标准和要求；</w:t>
      </w:r>
    </w:p>
    <w:p>
      <w:pPr>
        <w:spacing w:line="360" w:lineRule="exact"/>
        <w:ind w:firstLine="480" w:firstLineChars="200"/>
        <w:rPr>
          <w:sz w:val="24"/>
        </w:rPr>
      </w:pPr>
      <w:r>
        <w:rPr>
          <w:rFonts w:hint="eastAsia"/>
          <w:sz w:val="24"/>
        </w:rPr>
        <w:t>（8）投标文件格式；</w:t>
      </w:r>
    </w:p>
    <w:p>
      <w:pPr>
        <w:spacing w:line="360" w:lineRule="exact"/>
        <w:ind w:firstLine="480" w:firstLineChars="200"/>
        <w:rPr>
          <w:sz w:val="24"/>
        </w:rPr>
      </w:pPr>
      <w:r>
        <w:rPr>
          <w:rFonts w:hint="eastAsia"/>
          <w:sz w:val="24"/>
        </w:rPr>
        <w:t>（9）投标人须知前附表规定的其他材料。</w:t>
      </w:r>
    </w:p>
    <w:p>
      <w:pPr>
        <w:shd w:val="clear" w:color="auto" w:fill="FFFFFF"/>
        <w:autoSpaceDE w:val="0"/>
        <w:autoSpaceDN w:val="0"/>
        <w:adjustRightInd w:val="0"/>
        <w:spacing w:line="360" w:lineRule="exact"/>
        <w:ind w:firstLine="480" w:firstLineChars="200"/>
        <w:jc w:val="left"/>
        <w:rPr>
          <w:color w:val="FF0000"/>
          <w:sz w:val="24"/>
        </w:rPr>
      </w:pPr>
      <w:r>
        <w:rPr>
          <w:color w:val="FF0000"/>
          <w:sz w:val="24"/>
        </w:rPr>
        <w:t>本招标文件第</w:t>
      </w:r>
      <w:r>
        <w:rPr>
          <w:rFonts w:hint="eastAsia"/>
          <w:color w:val="FF0000"/>
          <w:sz w:val="24"/>
        </w:rPr>
        <w:t>四</w:t>
      </w:r>
      <w:r>
        <w:rPr>
          <w:color w:val="FF0000"/>
          <w:sz w:val="24"/>
        </w:rPr>
        <w:t>章</w:t>
      </w:r>
      <w:r>
        <w:rPr>
          <w:rFonts w:hint="eastAsia"/>
          <w:color w:val="FF0000"/>
          <w:sz w:val="24"/>
        </w:rPr>
        <w:t>“</w:t>
      </w:r>
      <w:r>
        <w:rPr>
          <w:color w:val="FF0000"/>
          <w:sz w:val="24"/>
        </w:rPr>
        <w:t>合同条款</w:t>
      </w:r>
      <w:r>
        <w:rPr>
          <w:rFonts w:hint="eastAsia"/>
          <w:color w:val="FF0000"/>
          <w:sz w:val="24"/>
        </w:rPr>
        <w:t>及格式”</w:t>
      </w:r>
      <w:r>
        <w:rPr>
          <w:color w:val="FF0000"/>
          <w:sz w:val="24"/>
        </w:rPr>
        <w:t>是招标文件的重要组成部分，投标人必须仔细阅读并充分理解。投标人一旦中标，必须按照本招标文件第</w:t>
      </w:r>
      <w:r>
        <w:rPr>
          <w:rFonts w:hint="eastAsia"/>
          <w:color w:val="FF0000"/>
          <w:sz w:val="24"/>
        </w:rPr>
        <w:t>四</w:t>
      </w:r>
      <w:r>
        <w:rPr>
          <w:color w:val="FF0000"/>
          <w:sz w:val="24"/>
        </w:rPr>
        <w:t>章</w:t>
      </w:r>
      <w:r>
        <w:rPr>
          <w:rFonts w:hint="eastAsia"/>
          <w:color w:val="FF0000"/>
          <w:sz w:val="24"/>
        </w:rPr>
        <w:t>“</w:t>
      </w:r>
      <w:r>
        <w:rPr>
          <w:color w:val="FF0000"/>
          <w:sz w:val="24"/>
        </w:rPr>
        <w:t>合同条款</w:t>
      </w:r>
      <w:r>
        <w:rPr>
          <w:rFonts w:hint="eastAsia"/>
          <w:color w:val="FF0000"/>
          <w:sz w:val="24"/>
        </w:rPr>
        <w:t>及格式”</w:t>
      </w:r>
      <w:r>
        <w:rPr>
          <w:color w:val="FF0000"/>
          <w:sz w:val="24"/>
        </w:rPr>
        <w:t>已约定的内容和格式与招标人签订合同。</w:t>
      </w:r>
    </w:p>
    <w:p>
      <w:pPr>
        <w:shd w:val="clear" w:color="auto" w:fill="FFFFFF"/>
        <w:autoSpaceDE w:val="0"/>
        <w:autoSpaceDN w:val="0"/>
        <w:adjustRightInd w:val="0"/>
        <w:spacing w:line="360" w:lineRule="exact"/>
        <w:ind w:firstLine="480" w:firstLineChars="200"/>
        <w:jc w:val="left"/>
        <w:rPr>
          <w:sz w:val="24"/>
        </w:rPr>
      </w:pPr>
      <w:r>
        <w:rPr>
          <w:rFonts w:hint="eastAsia"/>
          <w:sz w:val="24"/>
        </w:rPr>
        <w:t>招标文件将通过济宁市公共资源交易网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进行发放，具体详见投标人须知前附表。</w:t>
      </w:r>
      <w:r>
        <w:rPr>
          <w:sz w:val="24"/>
        </w:rPr>
        <w:t>对招标文件所作的澄清、修改、补充文件，同为招标文件的组成部分，其相互之间发生矛盾时，以最后发出的文件为准。</w:t>
      </w:r>
    </w:p>
    <w:p>
      <w:pPr>
        <w:pStyle w:val="4"/>
        <w:spacing w:before="120" w:after="160" w:line="320" w:lineRule="exact"/>
        <w:rPr>
          <w:rFonts w:eastAsia="黑体"/>
          <w:b w:val="0"/>
          <w:sz w:val="28"/>
          <w:szCs w:val="28"/>
        </w:rPr>
      </w:pPr>
      <w:bookmarkStart w:id="68" w:name="_Toc152042320"/>
      <w:bookmarkStart w:id="69" w:name="_Toc269310932"/>
      <w:bookmarkStart w:id="70" w:name="_Toc144974512"/>
      <w:bookmarkStart w:id="71" w:name="_Toc312072242"/>
      <w:bookmarkStart w:id="72" w:name="_Toc152045544"/>
      <w:r>
        <w:rPr>
          <w:rFonts w:eastAsia="黑体"/>
          <w:b w:val="0"/>
          <w:sz w:val="28"/>
          <w:szCs w:val="28"/>
        </w:rPr>
        <w:t>2.2 招标文件的澄清</w:t>
      </w:r>
      <w:bookmarkEnd w:id="68"/>
      <w:bookmarkEnd w:id="69"/>
      <w:bookmarkEnd w:id="70"/>
      <w:bookmarkEnd w:id="71"/>
      <w:bookmarkEnd w:id="72"/>
    </w:p>
    <w:p>
      <w:pPr>
        <w:shd w:val="clear" w:color="auto" w:fill="FFFFFF"/>
        <w:autoSpaceDE w:val="0"/>
        <w:autoSpaceDN w:val="0"/>
        <w:adjustRightInd w:val="0"/>
        <w:spacing w:line="360" w:lineRule="exact"/>
        <w:ind w:firstLine="480" w:firstLineChars="200"/>
        <w:jc w:val="left"/>
        <w:rPr>
          <w:sz w:val="24"/>
        </w:rPr>
      </w:pPr>
      <w:r>
        <w:rPr>
          <w:rFonts w:hint="eastAsia"/>
          <w:sz w:val="24"/>
        </w:rPr>
        <w:t>2.2.1投标人应仔细阅读和检查招标文件（包括施工图纸）的全部内容。如发现缺页或附件不全，应及时向招标人提出，以便补齐。投标人若对招标文件（包括招标图纸、清单、招标控制价等）有疑问的，应按照投标人须知前附表“投标人提出疑问的时间及方式”条款的规定提出问题。</w:t>
      </w:r>
    </w:p>
    <w:p>
      <w:pPr>
        <w:shd w:val="clear" w:color="auto" w:fill="FFFFFF"/>
        <w:autoSpaceDE w:val="0"/>
        <w:autoSpaceDN w:val="0"/>
        <w:adjustRightInd w:val="0"/>
        <w:spacing w:line="360" w:lineRule="exact"/>
        <w:ind w:firstLine="480" w:firstLineChars="200"/>
        <w:jc w:val="left"/>
        <w:rPr>
          <w:sz w:val="24"/>
        </w:rPr>
      </w:pPr>
      <w:r>
        <w:rPr>
          <w:rFonts w:hint="eastAsia"/>
          <w:sz w:val="24"/>
        </w:rPr>
        <w:t>2.2.2招标文件的澄清将通过济宁市公共资源交易网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予以发布。</w:t>
      </w:r>
      <w:r>
        <w:rPr>
          <w:rFonts w:hint="eastAsia"/>
          <w:b/>
          <w:sz w:val="24"/>
        </w:rPr>
        <w:t>招标文件澄清的内容可能影响投标文件编制的，将在投标截止时间</w:t>
      </w:r>
      <w:r>
        <w:rPr>
          <w:b/>
          <w:sz w:val="24"/>
        </w:rPr>
        <w:t>15</w:t>
      </w:r>
      <w:r>
        <w:rPr>
          <w:rFonts w:hint="eastAsia"/>
          <w:b/>
          <w:sz w:val="24"/>
        </w:rPr>
        <w:t>天前发出，不足</w:t>
      </w:r>
      <w:r>
        <w:rPr>
          <w:b/>
          <w:sz w:val="24"/>
        </w:rPr>
        <w:t>15</w:t>
      </w:r>
      <w:r>
        <w:rPr>
          <w:rFonts w:hint="eastAsia"/>
          <w:b/>
          <w:sz w:val="24"/>
        </w:rPr>
        <w:t>天的相应延长投标截止时间。</w:t>
      </w:r>
    </w:p>
    <w:p>
      <w:pPr>
        <w:shd w:val="clear" w:color="auto" w:fill="FFFFFF"/>
        <w:autoSpaceDE w:val="0"/>
        <w:autoSpaceDN w:val="0"/>
        <w:adjustRightInd w:val="0"/>
        <w:spacing w:line="360" w:lineRule="exact"/>
        <w:ind w:firstLine="480" w:firstLineChars="200"/>
        <w:jc w:val="left"/>
        <w:rPr>
          <w:sz w:val="24"/>
        </w:rPr>
      </w:pPr>
      <w:r>
        <w:rPr>
          <w:rFonts w:hint="eastAsia"/>
          <w:sz w:val="24"/>
        </w:rPr>
        <w:t>2.2.3</w:t>
      </w:r>
      <w:bookmarkStart w:id="73" w:name="_Toc152045545"/>
      <w:bookmarkStart w:id="74" w:name="_Toc312072243"/>
      <w:bookmarkStart w:id="75" w:name="_Toc152042321"/>
      <w:bookmarkStart w:id="76" w:name="_Toc269310933"/>
      <w:bookmarkStart w:id="77" w:name="_Toc144974513"/>
      <w:r>
        <w:rPr>
          <w:rFonts w:hint="eastAsia"/>
          <w:sz w:val="24"/>
        </w:rPr>
        <w:t>招标文件的澄清一经在济宁市公共资源交易网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发布，视作已发放给所有投标人（发布时间即为送达投标人的时间），各投标人应随时关注投标项目信息并及时在济宁市公共资源交易网下载相关资料，否则所造成的一切后果由投标人自负。</w:t>
      </w:r>
    </w:p>
    <w:p>
      <w:pPr>
        <w:shd w:val="clear" w:color="auto" w:fill="FFFFFF"/>
        <w:autoSpaceDE w:val="0"/>
        <w:autoSpaceDN w:val="0"/>
        <w:adjustRightInd w:val="0"/>
        <w:spacing w:line="360" w:lineRule="exact"/>
        <w:ind w:firstLine="562" w:firstLineChars="200"/>
        <w:jc w:val="left"/>
        <w:rPr>
          <w:rFonts w:eastAsia="黑体"/>
          <w:b/>
          <w:sz w:val="28"/>
          <w:szCs w:val="28"/>
        </w:rPr>
      </w:pPr>
      <w:r>
        <w:rPr>
          <w:rFonts w:eastAsia="黑体"/>
          <w:b/>
          <w:sz w:val="28"/>
          <w:szCs w:val="28"/>
        </w:rPr>
        <w:t>2.3 招标文件的修改</w:t>
      </w:r>
      <w:bookmarkEnd w:id="73"/>
      <w:bookmarkEnd w:id="74"/>
      <w:bookmarkEnd w:id="75"/>
      <w:bookmarkEnd w:id="76"/>
      <w:bookmarkEnd w:id="77"/>
    </w:p>
    <w:p>
      <w:pPr>
        <w:shd w:val="clear" w:color="auto" w:fill="FFFFFF"/>
        <w:autoSpaceDE w:val="0"/>
        <w:autoSpaceDN w:val="0"/>
        <w:adjustRightInd w:val="0"/>
        <w:spacing w:line="360" w:lineRule="exact"/>
        <w:ind w:firstLine="480" w:firstLineChars="200"/>
        <w:jc w:val="left"/>
        <w:rPr>
          <w:sz w:val="24"/>
        </w:rPr>
      </w:pPr>
      <w:r>
        <w:rPr>
          <w:rFonts w:hint="eastAsia"/>
          <w:sz w:val="24"/>
        </w:rPr>
        <w:t>2.3.1招标人可对招标文件进行修改，并通过济宁市公共资源交易网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予以发布。</w:t>
      </w:r>
      <w:r>
        <w:rPr>
          <w:rFonts w:hint="eastAsia"/>
          <w:b/>
          <w:sz w:val="24"/>
        </w:rPr>
        <w:t>招标文件修改的内容可能影响投标文件编制的，将在提交投标文件截止时间</w:t>
      </w:r>
      <w:r>
        <w:rPr>
          <w:b/>
          <w:sz w:val="24"/>
        </w:rPr>
        <w:t>15</w:t>
      </w:r>
      <w:r>
        <w:rPr>
          <w:rFonts w:hint="eastAsia"/>
          <w:b/>
          <w:sz w:val="24"/>
        </w:rPr>
        <w:t>日前予以发布，不足</w:t>
      </w:r>
      <w:r>
        <w:rPr>
          <w:b/>
          <w:sz w:val="24"/>
        </w:rPr>
        <w:t>15</w:t>
      </w:r>
      <w:r>
        <w:rPr>
          <w:rFonts w:hint="eastAsia"/>
          <w:b/>
          <w:sz w:val="24"/>
        </w:rPr>
        <w:t>天的相应延长投标截止时间。</w:t>
      </w:r>
    </w:p>
    <w:p>
      <w:pPr>
        <w:shd w:val="clear" w:color="auto" w:fill="FFFFFF"/>
        <w:autoSpaceDE w:val="0"/>
        <w:autoSpaceDN w:val="0"/>
        <w:adjustRightInd w:val="0"/>
        <w:spacing w:line="360" w:lineRule="exact"/>
        <w:ind w:firstLine="480" w:firstLineChars="200"/>
        <w:jc w:val="left"/>
        <w:rPr>
          <w:sz w:val="24"/>
        </w:rPr>
      </w:pPr>
    </w:p>
    <w:p>
      <w:pPr>
        <w:shd w:val="clear" w:color="auto" w:fill="FFFFFF"/>
        <w:autoSpaceDE w:val="0"/>
        <w:autoSpaceDN w:val="0"/>
        <w:adjustRightInd w:val="0"/>
        <w:spacing w:line="360" w:lineRule="exact"/>
        <w:ind w:firstLine="480" w:firstLineChars="200"/>
        <w:jc w:val="left"/>
        <w:rPr>
          <w:sz w:val="24"/>
        </w:rPr>
      </w:pPr>
      <w:r>
        <w:rPr>
          <w:rFonts w:hint="eastAsia"/>
          <w:sz w:val="24"/>
        </w:rPr>
        <w:t>2.3.2招标文件的修改一经在济宁市公共资源交易网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发布，视作已发放给所有投标人（发布时间即为送达投标人的时间）。各投标人应随时关注投标项目信息并及时在济宁市公共资源交易网下载相关资料，否则所造成的一切后果由投标人自负。</w:t>
      </w:r>
    </w:p>
    <w:p>
      <w:pPr>
        <w:shd w:val="clear" w:color="auto" w:fill="FFFFFF"/>
        <w:autoSpaceDE w:val="0"/>
        <w:autoSpaceDN w:val="0"/>
        <w:adjustRightInd w:val="0"/>
        <w:spacing w:line="360" w:lineRule="exact"/>
        <w:ind w:firstLine="480" w:firstLineChars="200"/>
        <w:jc w:val="left"/>
        <w:rPr>
          <w:sz w:val="24"/>
        </w:rPr>
      </w:pPr>
      <w:r>
        <w:rPr>
          <w:rFonts w:hint="eastAsia"/>
          <w:sz w:val="24"/>
        </w:rPr>
        <w:t>2.3.3</w:t>
      </w:r>
      <w:bookmarkStart w:id="78" w:name="_Toc152042322"/>
      <w:bookmarkStart w:id="79" w:name="_Toc152045546"/>
      <w:bookmarkStart w:id="80" w:name="_Toc144974514"/>
      <w:bookmarkStart w:id="81" w:name="_Toc269310934"/>
      <w:bookmarkStart w:id="82" w:name="_Toc232995487"/>
      <w:bookmarkStart w:id="83" w:name="_Toc312072244"/>
      <w:bookmarkStart w:id="84" w:name="_Toc144974516"/>
      <w:bookmarkStart w:id="85" w:name="_Toc152042324"/>
      <w:bookmarkStart w:id="86" w:name="_Toc152045548"/>
      <w:r>
        <w:rPr>
          <w:rFonts w:hint="eastAsia"/>
          <w:sz w:val="24"/>
        </w:rPr>
        <w:t>招标文件的澄清或修改均以济宁市公共资源交易网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发布的内容为准。当招标文件的澄清、修改、补充等在同一内容的表述不一致时，以济宁市公共资源交易网</w:t>
      </w:r>
      <w:r>
        <w:rPr>
          <w:rFonts w:hint="eastAsia" w:ascii="宋体" w:hAnsi="宋体" w:cs="宋体"/>
          <w:sz w:val="24"/>
        </w:rPr>
        <w:t>（</w:t>
      </w:r>
      <w:r>
        <w:fldChar w:fldCharType="begin"/>
      </w:r>
      <w:r>
        <w:instrText xml:space="preserve"> HYPERLINK "http://www.jnggzyjy.gov.cn/" </w:instrText>
      </w:r>
      <w:r>
        <w:fldChar w:fldCharType="separate"/>
      </w:r>
      <w:r>
        <w:rPr>
          <w:rStyle w:val="50"/>
          <w:rFonts w:ascii="宋体" w:hAnsi="宋体" w:cs="宋体"/>
          <w:sz w:val="24"/>
        </w:rPr>
        <w:t>http://ggzy.jining.gov.cn</w:t>
      </w:r>
      <w:r>
        <w:rPr>
          <w:rStyle w:val="50"/>
          <w:rFonts w:ascii="宋体" w:hAnsi="宋体" w:cs="宋体"/>
          <w:sz w:val="24"/>
        </w:rPr>
        <w:fldChar w:fldCharType="end"/>
      </w:r>
      <w:r>
        <w:rPr>
          <w:rFonts w:hint="eastAsia" w:ascii="宋体" w:hAnsi="宋体" w:cs="宋体"/>
          <w:sz w:val="24"/>
        </w:rPr>
        <w:t>）</w:t>
      </w:r>
      <w:r>
        <w:rPr>
          <w:rFonts w:hint="eastAsia"/>
          <w:sz w:val="24"/>
        </w:rPr>
        <w:t>最后发布的内容为准。</w:t>
      </w:r>
    </w:p>
    <w:p>
      <w:pPr>
        <w:shd w:val="clear" w:color="auto" w:fill="FFFFFF"/>
        <w:autoSpaceDE w:val="0"/>
        <w:autoSpaceDN w:val="0"/>
        <w:adjustRightInd w:val="0"/>
        <w:spacing w:line="360" w:lineRule="exact"/>
        <w:ind w:firstLine="600" w:firstLineChars="200"/>
        <w:jc w:val="left"/>
        <w:rPr>
          <w:sz w:val="30"/>
          <w:szCs w:val="30"/>
        </w:rPr>
      </w:pPr>
      <w:r>
        <w:rPr>
          <w:sz w:val="30"/>
          <w:szCs w:val="30"/>
        </w:rPr>
        <w:t>3. 投标文件</w:t>
      </w:r>
      <w:bookmarkEnd w:id="78"/>
      <w:bookmarkEnd w:id="79"/>
      <w:bookmarkEnd w:id="80"/>
      <w:bookmarkEnd w:id="81"/>
      <w:bookmarkEnd w:id="82"/>
      <w:bookmarkEnd w:id="83"/>
    </w:p>
    <w:p>
      <w:pPr>
        <w:pStyle w:val="4"/>
        <w:spacing w:before="120" w:after="120" w:line="300" w:lineRule="exact"/>
        <w:rPr>
          <w:rFonts w:eastAsia="黑体"/>
          <w:b w:val="0"/>
          <w:sz w:val="28"/>
          <w:szCs w:val="28"/>
        </w:rPr>
      </w:pPr>
      <w:bookmarkStart w:id="87" w:name="_Toc144974515"/>
      <w:bookmarkStart w:id="88" w:name="_Toc312072245"/>
      <w:bookmarkStart w:id="89" w:name="_Toc232995488"/>
      <w:bookmarkStart w:id="90" w:name="_Toc269310935"/>
      <w:bookmarkStart w:id="91" w:name="_Toc152045547"/>
      <w:bookmarkStart w:id="92" w:name="_Toc152042323"/>
      <w:r>
        <w:rPr>
          <w:rFonts w:eastAsia="黑体"/>
          <w:b w:val="0"/>
          <w:sz w:val="28"/>
          <w:szCs w:val="28"/>
        </w:rPr>
        <w:t>3.1 投标文件的组成</w:t>
      </w:r>
      <w:bookmarkEnd w:id="87"/>
      <w:bookmarkEnd w:id="88"/>
      <w:bookmarkEnd w:id="89"/>
      <w:bookmarkEnd w:id="90"/>
      <w:bookmarkEnd w:id="91"/>
      <w:bookmarkEnd w:id="92"/>
      <w:bookmarkStart w:id="93" w:name="_Toc232832502"/>
      <w:bookmarkStart w:id="94" w:name="_Toc232832203"/>
    </w:p>
    <w:bookmarkEnd w:id="93"/>
    <w:bookmarkEnd w:id="94"/>
    <w:p>
      <w:pPr>
        <w:shd w:val="clear" w:color="auto" w:fill="FFFFFF"/>
        <w:autoSpaceDE w:val="0"/>
        <w:autoSpaceDN w:val="0"/>
        <w:adjustRightInd w:val="0"/>
        <w:spacing w:line="360" w:lineRule="exact"/>
        <w:ind w:firstLine="480" w:firstLineChars="200"/>
        <w:jc w:val="left"/>
        <w:rPr>
          <w:sz w:val="24"/>
        </w:rPr>
      </w:pPr>
      <w:bookmarkStart w:id="95" w:name="_Toc269310936"/>
      <w:r>
        <w:rPr>
          <w:sz w:val="24"/>
        </w:rPr>
        <w:t>3.1.</w:t>
      </w:r>
      <w:r>
        <w:rPr>
          <w:rFonts w:hint="eastAsia"/>
          <w:sz w:val="24"/>
        </w:rPr>
        <w:t xml:space="preserve">1 </w:t>
      </w:r>
      <w:r>
        <w:rPr>
          <w:sz w:val="24"/>
        </w:rPr>
        <w:t>投标文件包括下列内容：</w:t>
      </w:r>
    </w:p>
    <w:p>
      <w:pPr>
        <w:spacing w:line="360" w:lineRule="exact"/>
        <w:ind w:firstLine="410" w:firstLineChars="171"/>
        <w:rPr>
          <w:sz w:val="24"/>
        </w:rPr>
      </w:pPr>
      <w:r>
        <w:rPr>
          <w:sz w:val="24"/>
        </w:rPr>
        <w:t>（1）投标函；</w:t>
      </w:r>
    </w:p>
    <w:p>
      <w:pPr>
        <w:spacing w:line="340" w:lineRule="exact"/>
        <w:ind w:firstLine="410" w:firstLineChars="171"/>
        <w:rPr>
          <w:sz w:val="24"/>
        </w:rPr>
      </w:pPr>
      <w:r>
        <w:rPr>
          <w:rFonts w:hint="eastAsia"/>
          <w:sz w:val="24"/>
        </w:rPr>
        <w:t>（2）联合体协议书；</w:t>
      </w:r>
    </w:p>
    <w:p>
      <w:pPr>
        <w:spacing w:line="340" w:lineRule="exact"/>
        <w:ind w:firstLine="410" w:firstLineChars="171"/>
        <w:rPr>
          <w:sz w:val="24"/>
        </w:rPr>
      </w:pPr>
      <w:r>
        <w:rPr>
          <w:rFonts w:hint="eastAsia"/>
          <w:sz w:val="24"/>
        </w:rPr>
        <w:t>（3）投标保证金；</w:t>
      </w:r>
    </w:p>
    <w:p>
      <w:pPr>
        <w:spacing w:line="340" w:lineRule="exact"/>
        <w:ind w:firstLine="410" w:firstLineChars="171"/>
        <w:rPr>
          <w:sz w:val="24"/>
        </w:rPr>
      </w:pPr>
      <w:r>
        <w:rPr>
          <w:sz w:val="24"/>
        </w:rPr>
        <w:t>（</w:t>
      </w:r>
      <w:r>
        <w:rPr>
          <w:rFonts w:hint="eastAsia"/>
          <w:sz w:val="24"/>
        </w:rPr>
        <w:t>4</w:t>
      </w:r>
      <w:r>
        <w:rPr>
          <w:sz w:val="24"/>
        </w:rPr>
        <w:t>）已标价工程量清单；</w:t>
      </w:r>
    </w:p>
    <w:p>
      <w:pPr>
        <w:spacing w:line="340" w:lineRule="exact"/>
        <w:ind w:firstLine="410" w:firstLineChars="171"/>
        <w:rPr>
          <w:sz w:val="24"/>
        </w:rPr>
      </w:pPr>
      <w:r>
        <w:rPr>
          <w:rFonts w:hint="eastAsia"/>
          <w:sz w:val="24"/>
        </w:rPr>
        <w:t>（5）施工组织设计；</w:t>
      </w:r>
    </w:p>
    <w:p>
      <w:pPr>
        <w:spacing w:line="340" w:lineRule="exact"/>
        <w:ind w:firstLine="410" w:firstLineChars="171"/>
        <w:rPr>
          <w:sz w:val="24"/>
        </w:rPr>
      </w:pPr>
      <w:r>
        <w:rPr>
          <w:rFonts w:hint="eastAsia"/>
          <w:sz w:val="24"/>
        </w:rPr>
        <w:t>（6）项目管理机构；</w:t>
      </w:r>
    </w:p>
    <w:p>
      <w:pPr>
        <w:spacing w:line="340" w:lineRule="exact"/>
        <w:ind w:firstLine="410" w:firstLineChars="171"/>
        <w:rPr>
          <w:sz w:val="24"/>
        </w:rPr>
      </w:pPr>
      <w:r>
        <w:rPr>
          <w:rFonts w:hint="eastAsia"/>
          <w:sz w:val="24"/>
        </w:rPr>
        <w:t>（7）拟分包计划表；</w:t>
      </w:r>
    </w:p>
    <w:p>
      <w:pPr>
        <w:spacing w:line="340" w:lineRule="exact"/>
        <w:ind w:firstLine="410" w:firstLineChars="171"/>
        <w:rPr>
          <w:sz w:val="24"/>
        </w:rPr>
      </w:pPr>
      <w:r>
        <w:rPr>
          <w:rFonts w:hint="eastAsia"/>
          <w:sz w:val="24"/>
        </w:rPr>
        <w:t>（8）资格审查材料</w:t>
      </w:r>
    </w:p>
    <w:p>
      <w:pPr>
        <w:spacing w:line="340" w:lineRule="exact"/>
        <w:ind w:firstLine="410" w:firstLineChars="171"/>
        <w:rPr>
          <w:sz w:val="24"/>
        </w:rPr>
      </w:pPr>
      <w:r>
        <w:rPr>
          <w:rFonts w:hint="eastAsia"/>
          <w:sz w:val="24"/>
        </w:rPr>
        <w:t>（9）投标人须知前附表规定的其他材料。</w:t>
      </w:r>
    </w:p>
    <w:p>
      <w:pPr>
        <w:spacing w:line="340" w:lineRule="exact"/>
        <w:ind w:firstLine="410" w:firstLineChars="171"/>
        <w:rPr>
          <w:sz w:val="24"/>
        </w:rPr>
      </w:pPr>
      <w:r>
        <w:rPr>
          <w:rFonts w:hint="eastAsia"/>
          <w:sz w:val="24"/>
        </w:rPr>
        <w:t>3.1.2投标人须知前附表规定不接受联合体投标的，或投标人没有组成联合体的，投标文件不包括本章第3.1.1（2）目所指的联合体协议书。</w:t>
      </w:r>
    </w:p>
    <w:p>
      <w:pPr>
        <w:pStyle w:val="4"/>
        <w:spacing w:before="120" w:after="120" w:line="300" w:lineRule="exact"/>
        <w:rPr>
          <w:rFonts w:eastAsia="黑体"/>
          <w:b w:val="0"/>
          <w:sz w:val="28"/>
          <w:szCs w:val="28"/>
        </w:rPr>
      </w:pPr>
      <w:bookmarkStart w:id="96" w:name="_Toc312072246"/>
      <w:r>
        <w:rPr>
          <w:rFonts w:eastAsia="黑体"/>
          <w:b w:val="0"/>
          <w:sz w:val="28"/>
          <w:szCs w:val="28"/>
        </w:rPr>
        <w:t>3.2 投标报价</w:t>
      </w:r>
      <w:bookmarkEnd w:id="84"/>
      <w:bookmarkEnd w:id="85"/>
      <w:bookmarkEnd w:id="86"/>
      <w:bookmarkEnd w:id="95"/>
      <w:bookmarkEnd w:id="96"/>
    </w:p>
    <w:p>
      <w:pPr>
        <w:spacing w:line="340" w:lineRule="exact"/>
        <w:ind w:firstLine="480" w:firstLineChars="200"/>
        <w:rPr>
          <w:sz w:val="24"/>
        </w:rPr>
      </w:pPr>
      <w:bookmarkStart w:id="97" w:name="_Toc269310937"/>
      <w:r>
        <w:rPr>
          <w:rFonts w:hint="eastAsia"/>
          <w:sz w:val="24"/>
        </w:rPr>
        <w:t>3.2.1 投标人应按第五章“工程量清单”的要求填写相应表格。</w:t>
      </w:r>
      <w:bookmarkStart w:id="98" w:name="OLE_LINK33"/>
      <w:bookmarkStart w:id="99" w:name="OLE_LINK7"/>
      <w:bookmarkStart w:id="100" w:name="OLE_LINK8"/>
      <w:bookmarkStart w:id="101" w:name="OLE_LINK12"/>
      <w:bookmarkStart w:id="102" w:name="OLE_LINK6"/>
    </w:p>
    <w:p>
      <w:pPr>
        <w:spacing w:line="340" w:lineRule="exact"/>
        <w:ind w:firstLine="480" w:firstLineChars="200"/>
        <w:rPr>
          <w:sz w:val="24"/>
        </w:rPr>
      </w:pPr>
      <w:r>
        <w:rPr>
          <w:rFonts w:hint="eastAsia"/>
          <w:sz w:val="24"/>
        </w:rPr>
        <w:t>3.2.2 投标报价中的规费、税金为不可竞争费用，应按相应规定足额计取，投标人在投标报价中，对上述费用进行让利或者优惠的，评标委员会将否决其投标。</w:t>
      </w:r>
      <w:bookmarkEnd w:id="98"/>
      <w:bookmarkEnd w:id="99"/>
      <w:bookmarkEnd w:id="100"/>
    </w:p>
    <w:bookmarkEnd w:id="101"/>
    <w:bookmarkEnd w:id="102"/>
    <w:p>
      <w:pPr>
        <w:spacing w:line="340" w:lineRule="exact"/>
        <w:ind w:firstLine="480" w:firstLineChars="200"/>
        <w:rPr>
          <w:rFonts w:ascii="宋体" w:hAnsi="宋体" w:cs="宋体"/>
          <w:kern w:val="0"/>
          <w:sz w:val="24"/>
        </w:rPr>
      </w:pPr>
      <w:r>
        <w:rPr>
          <w:rFonts w:hint="eastAsia" w:ascii="宋体" w:hAnsi="宋体" w:cs="宋体"/>
          <w:kern w:val="0"/>
          <w:sz w:val="24"/>
          <w:highlight w:val="cyan"/>
        </w:rPr>
        <w:t>按照有关法律法规要求，建筑工地必须配备的自动洗车设施、视频监控设施、空气自动监测微站等环保设施所需费用包含在安全文明施工费中，投标企业在投标报价时，安全文明施工费作为规费计入投标总报价，不得将安全文明施工费进行让利，并且要确保安全文明施工费的投入和专款专用。施工现场要严格落实扬尘污染控制措施，落实渣土车运输管控措施和使用三级及以上排放标准的非道路移动机械等污染控制措施，达到安全文明工地、《济宁市建筑施工现场标准化管理图解》及《济宁市建筑扬尘治理整治工作实施方案》、《建筑工地扬尘治理标准化工地》、《济宁市建筑工地扬尘治理工作导则》标准要求。</w:t>
      </w:r>
    </w:p>
    <w:p>
      <w:pPr>
        <w:spacing w:line="360" w:lineRule="exact"/>
        <w:ind w:firstLine="482" w:firstLineChars="200"/>
        <w:rPr>
          <w:rFonts w:ascii="宋体" w:hAnsi="宋体" w:cs="宋体"/>
          <w:kern w:val="0"/>
          <w:sz w:val="24"/>
        </w:rPr>
      </w:pPr>
      <w:r>
        <w:rPr>
          <w:rFonts w:hint="eastAsia" w:hAnsi="宋体"/>
          <w:b/>
          <w:color w:val="FF0000"/>
          <w:sz w:val="24"/>
          <w:highlight w:val="yellow"/>
          <w:u w:val="single"/>
        </w:rPr>
        <w:t>投标人应直接按照招标控制价中列出的“招标代理费”计入投标总价，不得增减</w:t>
      </w:r>
      <w:r>
        <w:rPr>
          <w:rFonts w:hint="eastAsia" w:hAnsi="宋体"/>
          <w:b/>
          <w:color w:val="FF0000"/>
          <w:sz w:val="24"/>
          <w:highlight w:val="yellow"/>
        </w:rPr>
        <w:t>。</w:t>
      </w:r>
    </w:p>
    <w:p>
      <w:pPr>
        <w:spacing w:line="360" w:lineRule="exact"/>
        <w:ind w:firstLine="480" w:firstLineChars="200"/>
        <w:rPr>
          <w:sz w:val="24"/>
        </w:rPr>
      </w:pPr>
      <w:r>
        <w:rPr>
          <w:rFonts w:hint="eastAsia"/>
          <w:sz w:val="24"/>
        </w:rPr>
        <w:t>3.2.3 投标人在投标截止时间前修改投标函中的投标总报价，应同时修改第五章“工程量清单”中的相应报价。此修改须符合本章第4.3 款的有关要求。</w:t>
      </w:r>
    </w:p>
    <w:p>
      <w:pPr>
        <w:pStyle w:val="4"/>
        <w:spacing w:before="120" w:after="120" w:line="300" w:lineRule="exact"/>
        <w:rPr>
          <w:rFonts w:eastAsia="黑体"/>
          <w:b w:val="0"/>
          <w:sz w:val="28"/>
          <w:szCs w:val="28"/>
        </w:rPr>
      </w:pPr>
      <w:bookmarkStart w:id="103" w:name="_Toc312072247"/>
      <w:r>
        <w:rPr>
          <w:rFonts w:eastAsia="黑体"/>
          <w:b w:val="0"/>
          <w:sz w:val="28"/>
          <w:szCs w:val="28"/>
        </w:rPr>
        <w:t>3.3 投标有效期</w:t>
      </w:r>
      <w:bookmarkEnd w:id="97"/>
      <w:bookmarkEnd w:id="103"/>
    </w:p>
    <w:p>
      <w:pPr>
        <w:spacing w:line="320" w:lineRule="exact"/>
        <w:ind w:firstLine="480" w:firstLineChars="200"/>
        <w:rPr>
          <w:sz w:val="24"/>
        </w:rPr>
      </w:pPr>
      <w:bookmarkStart w:id="104" w:name="_Toc152045550"/>
      <w:bookmarkStart w:id="105" w:name="_Toc144974518"/>
      <w:bookmarkStart w:id="106" w:name="_Toc269310938"/>
      <w:bookmarkStart w:id="107" w:name="_Toc152042326"/>
      <w:bookmarkStart w:id="108" w:name="_Toc312072249"/>
      <w:bookmarkStart w:id="109" w:name="_Toc152042329"/>
      <w:bookmarkStart w:id="110" w:name="_Toc152045553"/>
      <w:bookmarkStart w:id="111" w:name="_Toc144974521"/>
      <w:r>
        <w:rPr>
          <w:rFonts w:hint="eastAsia"/>
          <w:sz w:val="24"/>
        </w:rPr>
        <w:t>3.3.1 在投标人须知前附表规定的投标有效期内，投标人不得要求撤销或修改其投标文件。</w:t>
      </w:r>
    </w:p>
    <w:p>
      <w:pPr>
        <w:spacing w:line="320" w:lineRule="exact"/>
        <w:ind w:firstLine="480" w:firstLineChars="200"/>
        <w:rPr>
          <w:sz w:val="24"/>
        </w:rPr>
      </w:pPr>
      <w:r>
        <w:rPr>
          <w:rFonts w:hint="eastAsia"/>
          <w:sz w:val="24"/>
        </w:rPr>
        <w:t>3.3.2 出现特殊情况需要延长投标有效期的，招标人将通过济宁市公共资源交易网（</w:t>
      </w:r>
      <w:r>
        <w:fldChar w:fldCharType="begin"/>
      </w:r>
      <w:r>
        <w:instrText xml:space="preserve"> HYPERLINK "http://www.jnggzyjy.gov.cn/" </w:instrText>
      </w:r>
      <w:r>
        <w:fldChar w:fldCharType="separate"/>
      </w:r>
      <w:r>
        <w:rPr>
          <w:rFonts w:hint="eastAsia"/>
          <w:sz w:val="24"/>
        </w:rPr>
        <w:t>http://ggzy.jining.gov.cn</w:t>
      </w:r>
      <w:r>
        <w:rPr>
          <w:rFonts w:hint="eastAsia"/>
          <w:sz w:val="24"/>
        </w:rPr>
        <w:fldChar w:fldCharType="end"/>
      </w:r>
      <w:r>
        <w:rPr>
          <w:rFonts w:hint="eastAsia"/>
          <w:sz w:val="24"/>
        </w:rPr>
        <w:t>）通知所有投标人延长投标有效期。投标人同意延长的，应相应延长其投标保证金的有效期，但不得要求修改或撤销其投标文件；投标人拒绝延长的，其投标失效，但投标人有权收回其投标保证金。</w:t>
      </w:r>
    </w:p>
    <w:p>
      <w:pPr>
        <w:pStyle w:val="4"/>
        <w:spacing w:before="120" w:after="120" w:line="300" w:lineRule="exact"/>
        <w:rPr>
          <w:rFonts w:eastAsia="黑体"/>
          <w:b w:val="0"/>
          <w:sz w:val="28"/>
          <w:szCs w:val="28"/>
        </w:rPr>
      </w:pPr>
      <w:bookmarkStart w:id="112" w:name="_Toc417408899"/>
      <w:r>
        <w:rPr>
          <w:rFonts w:eastAsia="黑体"/>
          <w:b w:val="0"/>
          <w:sz w:val="28"/>
          <w:szCs w:val="28"/>
        </w:rPr>
        <w:t>3.4 投标保证</w:t>
      </w:r>
      <w:bookmarkEnd w:id="104"/>
      <w:bookmarkEnd w:id="105"/>
      <w:bookmarkEnd w:id="106"/>
      <w:bookmarkEnd w:id="107"/>
      <w:bookmarkEnd w:id="112"/>
    </w:p>
    <w:p>
      <w:pPr>
        <w:spacing w:line="360" w:lineRule="exact"/>
        <w:ind w:firstLine="480" w:firstLineChars="200"/>
        <w:rPr>
          <w:sz w:val="24"/>
        </w:rPr>
      </w:pPr>
      <w:r>
        <w:rPr>
          <w:rFonts w:hint="eastAsia"/>
          <w:sz w:val="24"/>
        </w:rPr>
        <w:t>3.4</w:t>
      </w:r>
      <w:r>
        <w:rPr>
          <w:sz w:val="24"/>
        </w:rPr>
        <w:t>.</w:t>
      </w:r>
      <w:r>
        <w:rPr>
          <w:rFonts w:hint="eastAsia"/>
          <w:sz w:val="24"/>
        </w:rPr>
        <w:t>1 投标人应按投标人须知前附表规定的时间、金额、形式等要求，在交纳投标保证的截止时间前递交投标保证。联合体投标的，其投标保证由牵头人递交，并应符合投标人须知前附表的规定。</w:t>
      </w:r>
    </w:p>
    <w:p>
      <w:pPr>
        <w:spacing w:line="360" w:lineRule="auto"/>
        <w:ind w:firstLine="480" w:firstLineChars="200"/>
        <w:rPr>
          <w:sz w:val="24"/>
        </w:rPr>
      </w:pPr>
      <w:r>
        <w:rPr>
          <w:rFonts w:hint="eastAsia"/>
          <w:sz w:val="24"/>
        </w:rPr>
        <w:t>3.4.2 投标人不按本章第3.4.1 项要求提交投标保证的，将否决其投标。</w:t>
      </w:r>
    </w:p>
    <w:p>
      <w:pPr>
        <w:spacing w:line="360" w:lineRule="exact"/>
        <w:ind w:firstLine="480" w:firstLineChars="200"/>
        <w:rPr>
          <w:rFonts w:hint="eastAsia"/>
          <w:sz w:val="24"/>
        </w:rPr>
      </w:pPr>
      <w:r>
        <w:rPr>
          <w:rFonts w:hint="eastAsia"/>
          <w:sz w:val="24"/>
        </w:rPr>
        <w:t>3.4.3评标活动结束后，系统自动退付中标候选人名单以外的投标保证金及利息；中标公示期满无异议的，系统自动退付中标候选人中第一名以外的的投标保证金及利息；根据招标人意见，在中标通知书发出或合同签订后系统自动退付中标人投标保证金及利息。</w:t>
      </w:r>
    </w:p>
    <w:p>
      <w:pPr>
        <w:spacing w:line="360" w:lineRule="exact"/>
        <w:ind w:firstLine="480" w:firstLineChars="200"/>
        <w:rPr>
          <w:sz w:val="24"/>
        </w:rPr>
      </w:pPr>
      <w:r>
        <w:rPr>
          <w:rFonts w:hint="eastAsia"/>
          <w:sz w:val="24"/>
        </w:rPr>
        <w:t xml:space="preserve">3.4.4有下列情形之一的，投标保证金将不予退还： </w:t>
      </w:r>
    </w:p>
    <w:p>
      <w:pPr>
        <w:spacing w:line="360" w:lineRule="exact"/>
        <w:ind w:firstLine="480" w:firstLineChars="200"/>
        <w:rPr>
          <w:sz w:val="24"/>
        </w:rPr>
      </w:pPr>
      <w:r>
        <w:rPr>
          <w:rFonts w:hint="eastAsia"/>
          <w:sz w:val="24"/>
        </w:rPr>
        <w:t>（1）投标人在规定的投标有效期内撤销或修改其投标文件；</w:t>
      </w:r>
    </w:p>
    <w:p>
      <w:pPr>
        <w:spacing w:line="360" w:lineRule="exact"/>
        <w:ind w:firstLine="480" w:firstLineChars="200"/>
        <w:rPr>
          <w:sz w:val="24"/>
        </w:rPr>
      </w:pPr>
      <w:r>
        <w:rPr>
          <w:rFonts w:hint="eastAsia"/>
          <w:sz w:val="24"/>
        </w:rPr>
        <w:t>（2）中标人无正当理由不与招标人订立合同，在签订合同时向招标人提出附加条件，或者不按照招标文件要求提交履约保证金；</w:t>
      </w:r>
    </w:p>
    <w:p>
      <w:pPr>
        <w:spacing w:line="360" w:lineRule="exact"/>
        <w:ind w:firstLine="480" w:firstLineChars="200"/>
        <w:rPr>
          <w:sz w:val="24"/>
        </w:rPr>
      </w:pPr>
      <w:r>
        <w:rPr>
          <w:rFonts w:hint="eastAsia"/>
          <w:sz w:val="24"/>
        </w:rPr>
        <w:t>（3）法律法规文件规定的其他情况。</w:t>
      </w:r>
    </w:p>
    <w:p>
      <w:pPr>
        <w:pStyle w:val="4"/>
        <w:spacing w:before="120" w:after="120" w:line="300" w:lineRule="exact"/>
        <w:rPr>
          <w:rFonts w:eastAsia="黑体"/>
          <w:b w:val="0"/>
          <w:sz w:val="28"/>
          <w:szCs w:val="28"/>
        </w:rPr>
      </w:pPr>
      <w:r>
        <w:rPr>
          <w:rFonts w:hint="eastAsia" w:eastAsia="黑体"/>
          <w:b w:val="0"/>
          <w:sz w:val="28"/>
          <w:szCs w:val="28"/>
        </w:rPr>
        <w:t>3.5 资格审查资料</w:t>
      </w:r>
      <w:bookmarkEnd w:id="108"/>
    </w:p>
    <w:p>
      <w:pPr>
        <w:spacing w:line="340" w:lineRule="exact"/>
        <w:ind w:firstLine="480" w:firstLineChars="200"/>
        <w:rPr>
          <w:sz w:val="24"/>
        </w:rPr>
      </w:pPr>
      <w:bookmarkStart w:id="113" w:name="_Toc269310939"/>
      <w:bookmarkStart w:id="114" w:name="_Toc312072250"/>
      <w:r>
        <w:rPr>
          <w:rFonts w:hint="eastAsia"/>
          <w:sz w:val="24"/>
        </w:rPr>
        <w:t>3.5.1 “投标人基本情况表”应附投标人营业执照副本及其年检合格证明材料、资质证书副本和安全生产许可证等材料的扫描件。</w:t>
      </w:r>
    </w:p>
    <w:p>
      <w:pPr>
        <w:spacing w:line="340" w:lineRule="exact"/>
        <w:ind w:firstLine="480" w:firstLineChars="200"/>
        <w:rPr>
          <w:sz w:val="24"/>
        </w:rPr>
      </w:pPr>
      <w:r>
        <w:rPr>
          <w:rFonts w:hint="eastAsia"/>
          <w:sz w:val="24"/>
        </w:rPr>
        <w:t>3.5.2 “近年财务状况表”应附经合法的会计师事务所或审计机构审计的财务会计报表，包括资产负债表、现金流量表、利润表和财务情况说明书的扫描件，具体年份要求详见投标人须知前附表。</w:t>
      </w:r>
    </w:p>
    <w:p>
      <w:pPr>
        <w:spacing w:line="340" w:lineRule="exact"/>
        <w:ind w:firstLine="480" w:firstLineChars="200"/>
        <w:rPr>
          <w:sz w:val="24"/>
        </w:rPr>
      </w:pPr>
      <w:r>
        <w:rPr>
          <w:rFonts w:hint="eastAsia"/>
          <w:sz w:val="24"/>
        </w:rPr>
        <w:t>3.5.3 “近年完成的类似项目情况表”应附中标通知书或合同协议书、工程竣工验收证书扫描件，具体年份要求详见投标人须知前附表。每张表格只填写一个项目，并标明序号。</w:t>
      </w:r>
    </w:p>
    <w:p>
      <w:pPr>
        <w:spacing w:line="340" w:lineRule="exact"/>
        <w:ind w:firstLine="480" w:firstLineChars="200"/>
        <w:rPr>
          <w:sz w:val="24"/>
        </w:rPr>
      </w:pPr>
      <w:r>
        <w:rPr>
          <w:rFonts w:hint="eastAsia"/>
          <w:sz w:val="24"/>
        </w:rPr>
        <w:t>3.5.4 “正在施工和新承接的项目情况表”应附中标通知书或合同协议书扫描件。每张表格只填写一个项目，并标明序号。</w:t>
      </w:r>
    </w:p>
    <w:p>
      <w:pPr>
        <w:spacing w:line="340" w:lineRule="exact"/>
        <w:ind w:firstLine="480" w:firstLineChars="200"/>
        <w:rPr>
          <w:sz w:val="24"/>
        </w:rPr>
      </w:pPr>
      <w:r>
        <w:rPr>
          <w:rFonts w:hint="eastAsia"/>
          <w:sz w:val="24"/>
        </w:rPr>
        <w:t>3.5.5 “近年发生的诉讼及仲裁情况”应说明相关情况，并附法院或仲裁机构作出的判决、裁决等有关法律文书扫描件，具体年份要求详见投标人须知前附表。</w:t>
      </w:r>
    </w:p>
    <w:p>
      <w:pPr>
        <w:spacing w:line="340" w:lineRule="exact"/>
        <w:ind w:firstLine="480" w:firstLineChars="200"/>
        <w:rPr>
          <w:sz w:val="24"/>
        </w:rPr>
      </w:pPr>
      <w:r>
        <w:rPr>
          <w:rFonts w:hint="eastAsia"/>
          <w:sz w:val="24"/>
        </w:rPr>
        <w:t>3.5.6 投标人须知前附表规定接受联合体投标的，本章第3.5.1 项至第3.5.5 项规定的表格和资料应包括联合体各方相关情况。</w:t>
      </w:r>
    </w:p>
    <w:p>
      <w:pPr>
        <w:pStyle w:val="4"/>
        <w:spacing w:before="120" w:after="120" w:line="300" w:lineRule="exact"/>
        <w:rPr>
          <w:rFonts w:eastAsia="黑体"/>
          <w:b w:val="0"/>
          <w:sz w:val="28"/>
          <w:szCs w:val="28"/>
        </w:rPr>
      </w:pPr>
      <w:r>
        <w:rPr>
          <w:rFonts w:eastAsia="黑体"/>
          <w:b w:val="0"/>
          <w:sz w:val="28"/>
          <w:szCs w:val="28"/>
        </w:rPr>
        <w:t>3.</w:t>
      </w:r>
      <w:r>
        <w:rPr>
          <w:rFonts w:hint="eastAsia" w:eastAsia="黑体"/>
          <w:b w:val="0"/>
          <w:sz w:val="28"/>
          <w:szCs w:val="28"/>
        </w:rPr>
        <w:t>6</w:t>
      </w:r>
      <w:r>
        <w:rPr>
          <w:rFonts w:eastAsia="黑体"/>
          <w:b w:val="0"/>
          <w:sz w:val="28"/>
          <w:szCs w:val="28"/>
        </w:rPr>
        <w:t xml:space="preserve"> 备选投标方案</w:t>
      </w:r>
      <w:bookmarkEnd w:id="109"/>
      <w:bookmarkEnd w:id="110"/>
      <w:bookmarkEnd w:id="111"/>
      <w:bookmarkEnd w:id="113"/>
      <w:bookmarkEnd w:id="114"/>
    </w:p>
    <w:p>
      <w:pPr>
        <w:ind w:firstLine="480" w:firstLineChars="200"/>
        <w:rPr>
          <w:sz w:val="24"/>
        </w:rPr>
      </w:pPr>
      <w:r>
        <w:rPr>
          <w:rFonts w:hint="eastAsia" w:hAnsi="宋体"/>
          <w:sz w:val="24"/>
        </w:rPr>
        <w:t>投标人对本工程只能有一个投标方案，招标人不接受投标人的备选方案。</w:t>
      </w:r>
    </w:p>
    <w:p>
      <w:pPr>
        <w:pStyle w:val="4"/>
        <w:spacing w:before="120" w:after="120" w:line="300" w:lineRule="exact"/>
        <w:rPr>
          <w:rFonts w:eastAsia="黑体"/>
          <w:b w:val="0"/>
          <w:sz w:val="28"/>
          <w:szCs w:val="28"/>
        </w:rPr>
      </w:pPr>
      <w:bookmarkStart w:id="115" w:name="_Toc269310940"/>
      <w:bookmarkStart w:id="116" w:name="_Toc152045554"/>
      <w:bookmarkStart w:id="117" w:name="_Toc152042330"/>
      <w:bookmarkStart w:id="118" w:name="_Toc312072251"/>
      <w:bookmarkStart w:id="119" w:name="_Toc144974522"/>
      <w:r>
        <w:rPr>
          <w:rFonts w:eastAsia="黑体"/>
          <w:b w:val="0"/>
          <w:sz w:val="28"/>
          <w:szCs w:val="28"/>
        </w:rPr>
        <w:t>3.</w:t>
      </w:r>
      <w:r>
        <w:rPr>
          <w:rFonts w:hint="eastAsia" w:eastAsia="黑体"/>
          <w:b w:val="0"/>
          <w:sz w:val="28"/>
          <w:szCs w:val="28"/>
        </w:rPr>
        <w:t>7</w:t>
      </w:r>
      <w:r>
        <w:rPr>
          <w:rFonts w:eastAsia="黑体"/>
          <w:b w:val="0"/>
          <w:sz w:val="28"/>
          <w:szCs w:val="28"/>
        </w:rPr>
        <w:t>投标文件的编制</w:t>
      </w:r>
      <w:bookmarkEnd w:id="115"/>
      <w:bookmarkEnd w:id="116"/>
      <w:bookmarkEnd w:id="117"/>
      <w:bookmarkEnd w:id="118"/>
      <w:bookmarkEnd w:id="119"/>
    </w:p>
    <w:p>
      <w:pPr>
        <w:spacing w:line="330" w:lineRule="exact"/>
        <w:ind w:firstLine="480" w:firstLineChars="200"/>
        <w:rPr>
          <w:sz w:val="24"/>
        </w:rPr>
      </w:pPr>
      <w:bookmarkStart w:id="120" w:name="_Toc312072252"/>
      <w:bookmarkStart w:id="121" w:name="_Toc269310941"/>
      <w:bookmarkStart w:id="122" w:name="_Toc152042331"/>
      <w:bookmarkStart w:id="123" w:name="_Toc152045555"/>
      <w:bookmarkStart w:id="124" w:name="_Toc144974523"/>
      <w:r>
        <w:rPr>
          <w:sz w:val="24"/>
        </w:rPr>
        <w:t>3.</w:t>
      </w:r>
      <w:r>
        <w:rPr>
          <w:rFonts w:hint="eastAsia"/>
          <w:sz w:val="24"/>
        </w:rPr>
        <w:t>7</w:t>
      </w:r>
      <w:r>
        <w:rPr>
          <w:sz w:val="24"/>
        </w:rPr>
        <w:t>.1</w:t>
      </w:r>
      <w:r>
        <w:rPr>
          <w:rFonts w:hint="eastAsia"/>
          <w:sz w:val="24"/>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30" w:lineRule="exact"/>
        <w:ind w:firstLine="480" w:firstLineChars="200"/>
        <w:rPr>
          <w:sz w:val="24"/>
        </w:rPr>
      </w:pPr>
      <w:r>
        <w:rPr>
          <w:sz w:val="24"/>
        </w:rPr>
        <w:t>3.</w:t>
      </w:r>
      <w:r>
        <w:rPr>
          <w:rFonts w:hint="eastAsia"/>
          <w:sz w:val="24"/>
        </w:rPr>
        <w:t>7</w:t>
      </w:r>
      <w:r>
        <w:rPr>
          <w:sz w:val="24"/>
        </w:rPr>
        <w:t xml:space="preserve">.2 </w:t>
      </w:r>
      <w:r>
        <w:rPr>
          <w:rFonts w:hint="eastAsia"/>
          <w:sz w:val="24"/>
        </w:rPr>
        <w:t>投标文件应当对招标文件有关工期、投标有效期、质量要求、技术标准和要求、招标范围等实质性内容作出响应。</w:t>
      </w:r>
    </w:p>
    <w:p>
      <w:pPr>
        <w:widowControl/>
        <w:spacing w:line="330" w:lineRule="exact"/>
        <w:ind w:firstLine="480" w:firstLineChars="200"/>
        <w:jc w:val="left"/>
        <w:rPr>
          <w:sz w:val="24"/>
          <w:highlight w:val="green"/>
        </w:rPr>
      </w:pPr>
      <w:r>
        <w:rPr>
          <w:rFonts w:hint="eastAsia"/>
          <w:sz w:val="24"/>
          <w:highlight w:val="green"/>
        </w:rPr>
        <w:t>3.7.3电子投标文件电子签章要求见投标人须知前附表。</w:t>
      </w:r>
    </w:p>
    <w:p>
      <w:pPr>
        <w:widowControl/>
        <w:spacing w:line="330" w:lineRule="exact"/>
        <w:ind w:firstLine="480" w:firstLineChars="200"/>
        <w:jc w:val="left"/>
        <w:rPr>
          <w:sz w:val="24"/>
        </w:rPr>
      </w:pPr>
      <w:r>
        <w:rPr>
          <w:sz w:val="24"/>
          <w:highlight w:val="green"/>
        </w:rPr>
        <w:t>3.7.</w:t>
      </w:r>
      <w:r>
        <w:rPr>
          <w:rFonts w:hint="eastAsia"/>
          <w:sz w:val="24"/>
          <w:highlight w:val="green"/>
        </w:rPr>
        <w:t>4本项目采用计算机辅助评标，投标人应同时编制电子投标文件，电子投标文件的相关要求见投标人须知前附表规定</w:t>
      </w:r>
      <w:r>
        <w:rPr>
          <w:rFonts w:hint="eastAsia"/>
          <w:sz w:val="24"/>
        </w:rPr>
        <w:t>。</w:t>
      </w:r>
    </w:p>
    <w:p>
      <w:pPr>
        <w:pStyle w:val="66"/>
        <w:spacing w:before="120" w:after="240" w:line="360" w:lineRule="exact"/>
        <w:rPr>
          <w:rFonts w:cs="Times New Roman"/>
          <w:sz w:val="30"/>
          <w:szCs w:val="30"/>
        </w:rPr>
      </w:pPr>
      <w:r>
        <w:rPr>
          <w:rFonts w:cs="Times New Roman"/>
          <w:sz w:val="30"/>
          <w:szCs w:val="30"/>
        </w:rPr>
        <w:t>4. 投标</w:t>
      </w:r>
      <w:bookmarkEnd w:id="120"/>
      <w:bookmarkEnd w:id="121"/>
      <w:bookmarkEnd w:id="122"/>
      <w:bookmarkEnd w:id="123"/>
      <w:bookmarkEnd w:id="124"/>
    </w:p>
    <w:p>
      <w:pPr>
        <w:pStyle w:val="4"/>
        <w:spacing w:before="120" w:after="120" w:line="300" w:lineRule="exact"/>
        <w:rPr>
          <w:rFonts w:eastAsia="黑体"/>
          <w:b w:val="0"/>
          <w:sz w:val="28"/>
          <w:szCs w:val="28"/>
        </w:rPr>
      </w:pPr>
      <w:bookmarkStart w:id="125" w:name="_Toc312072254"/>
      <w:bookmarkStart w:id="126" w:name="_Toc152045557"/>
      <w:bookmarkStart w:id="127" w:name="_Toc152042333"/>
      <w:bookmarkStart w:id="128" w:name="_Toc144974525"/>
      <w:bookmarkStart w:id="129" w:name="_Toc269310943"/>
      <w:r>
        <w:rPr>
          <w:rFonts w:eastAsia="黑体"/>
          <w:b w:val="0"/>
          <w:sz w:val="28"/>
          <w:szCs w:val="28"/>
        </w:rPr>
        <w:t>4.</w:t>
      </w:r>
      <w:r>
        <w:rPr>
          <w:rFonts w:hint="eastAsia" w:eastAsia="黑体"/>
          <w:b w:val="0"/>
          <w:sz w:val="28"/>
          <w:szCs w:val="28"/>
        </w:rPr>
        <w:t>1</w:t>
      </w:r>
      <w:r>
        <w:rPr>
          <w:rFonts w:eastAsia="黑体"/>
          <w:b w:val="0"/>
          <w:sz w:val="28"/>
          <w:szCs w:val="28"/>
        </w:rPr>
        <w:t>投标文件的递交</w:t>
      </w:r>
      <w:bookmarkEnd w:id="125"/>
      <w:bookmarkEnd w:id="126"/>
      <w:bookmarkEnd w:id="127"/>
      <w:bookmarkEnd w:id="128"/>
      <w:bookmarkEnd w:id="129"/>
    </w:p>
    <w:p>
      <w:pPr>
        <w:pStyle w:val="15"/>
        <w:ind w:firstLine="480" w:firstLineChars="200"/>
        <w:rPr>
          <w:sz w:val="24"/>
          <w:highlight w:val="green"/>
        </w:rPr>
      </w:pPr>
      <w:r>
        <w:rPr>
          <w:sz w:val="24"/>
          <w:highlight w:val="green"/>
        </w:rPr>
        <w:t>4.</w:t>
      </w:r>
      <w:r>
        <w:rPr>
          <w:rFonts w:hint="eastAsia"/>
          <w:sz w:val="24"/>
          <w:highlight w:val="green"/>
        </w:rPr>
        <w:t>1</w:t>
      </w:r>
      <w:r>
        <w:rPr>
          <w:sz w:val="24"/>
          <w:highlight w:val="green"/>
        </w:rPr>
        <w:t>.1投标人应在规定的投标截止时间前</w:t>
      </w:r>
      <w:r>
        <w:rPr>
          <w:rFonts w:hint="eastAsia"/>
          <w:sz w:val="24"/>
          <w:highlight w:val="green"/>
        </w:rPr>
        <w:t>上传完成电子版投标文件，并在开标时间前1小时内签到，否则视为无效投标。</w:t>
      </w:r>
    </w:p>
    <w:p>
      <w:pPr>
        <w:pStyle w:val="15"/>
        <w:ind w:firstLine="480" w:firstLineChars="200"/>
        <w:rPr>
          <w:sz w:val="24"/>
          <w:highlight w:val="green"/>
        </w:rPr>
      </w:pPr>
      <w:r>
        <w:rPr>
          <w:rFonts w:hint="eastAsia"/>
          <w:sz w:val="24"/>
          <w:highlight w:val="green"/>
        </w:rPr>
        <w:t>4.1.2参投标段电子投标文件未在投标截止时间前完成上传的，招标人不予受理。</w:t>
      </w:r>
    </w:p>
    <w:p>
      <w:pPr>
        <w:pStyle w:val="15"/>
        <w:ind w:firstLine="480" w:firstLineChars="200"/>
        <w:rPr>
          <w:sz w:val="24"/>
          <w:highlight w:val="green"/>
        </w:rPr>
      </w:pPr>
      <w:r>
        <w:rPr>
          <w:sz w:val="24"/>
          <w:highlight w:val="green"/>
        </w:rPr>
        <w:t>4.</w:t>
      </w:r>
      <w:r>
        <w:rPr>
          <w:rFonts w:hint="eastAsia"/>
          <w:sz w:val="24"/>
          <w:highlight w:val="green"/>
        </w:rPr>
        <w:t>1.3招标人通过交易平台接收电子投标文件，交易平台收到投标人送达的投标文件后，即时向投标人发出确认回执通知。</w:t>
      </w:r>
    </w:p>
    <w:p>
      <w:pPr>
        <w:pStyle w:val="4"/>
        <w:spacing w:before="120" w:after="120" w:line="300" w:lineRule="exact"/>
        <w:rPr>
          <w:rFonts w:eastAsia="黑体"/>
          <w:b w:val="0"/>
          <w:sz w:val="28"/>
          <w:szCs w:val="28"/>
        </w:rPr>
      </w:pPr>
      <w:r>
        <w:rPr>
          <w:rFonts w:eastAsia="黑体"/>
          <w:b w:val="0"/>
          <w:sz w:val="28"/>
          <w:szCs w:val="28"/>
        </w:rPr>
        <w:t>4.</w:t>
      </w:r>
      <w:r>
        <w:rPr>
          <w:rFonts w:hint="eastAsia" w:eastAsia="黑体"/>
          <w:b w:val="0"/>
          <w:sz w:val="28"/>
          <w:szCs w:val="28"/>
        </w:rPr>
        <w:t>2</w:t>
      </w:r>
      <w:r>
        <w:rPr>
          <w:rFonts w:eastAsia="黑体"/>
          <w:b w:val="0"/>
          <w:sz w:val="28"/>
          <w:szCs w:val="28"/>
        </w:rPr>
        <w:t xml:space="preserve"> 投标文件的修改与撤回</w:t>
      </w:r>
    </w:p>
    <w:p>
      <w:pPr>
        <w:spacing w:line="320" w:lineRule="exact"/>
        <w:ind w:firstLine="480" w:firstLineChars="200"/>
        <w:rPr>
          <w:sz w:val="24"/>
          <w:highlight w:val="green"/>
        </w:rPr>
      </w:pPr>
      <w:bookmarkStart w:id="130" w:name="_Toc152045559"/>
      <w:bookmarkStart w:id="131" w:name="_Toc269310946"/>
      <w:bookmarkStart w:id="132" w:name="_Toc144974527"/>
      <w:bookmarkStart w:id="133" w:name="_Toc152042335"/>
      <w:bookmarkStart w:id="134" w:name="_Toc312072256"/>
      <w:r>
        <w:rPr>
          <w:rFonts w:hint="eastAsia"/>
          <w:sz w:val="24"/>
          <w:highlight w:val="green"/>
        </w:rPr>
        <w:t>4.2.1在前附表规定的投标截止时间前，投标人可以修改或撤回已提交的投标文件。</w:t>
      </w:r>
    </w:p>
    <w:p>
      <w:pPr>
        <w:spacing w:line="320" w:lineRule="exact"/>
        <w:ind w:firstLine="480" w:firstLineChars="200"/>
        <w:rPr>
          <w:sz w:val="24"/>
          <w:highlight w:val="green"/>
        </w:rPr>
      </w:pPr>
      <w:r>
        <w:rPr>
          <w:rFonts w:hint="eastAsia"/>
          <w:sz w:val="24"/>
          <w:highlight w:val="green"/>
        </w:rPr>
        <w:t>4.2.2投标人修改已提交投标文件时，应先在交易平台对原投标文件进行撤回，修改完成后再重新上传已修改的投标文件，交易平台将完整记录投标人的撤回修改情况。</w:t>
      </w:r>
    </w:p>
    <w:p>
      <w:pPr>
        <w:spacing w:line="320" w:lineRule="exact"/>
        <w:ind w:firstLine="480" w:firstLineChars="200"/>
        <w:rPr>
          <w:sz w:val="24"/>
          <w:highlight w:val="green"/>
        </w:rPr>
      </w:pPr>
      <w:r>
        <w:rPr>
          <w:rFonts w:hint="eastAsia"/>
          <w:sz w:val="24"/>
          <w:highlight w:val="green"/>
        </w:rPr>
        <w:t>4.2.3 修改的内容为投标文件的组成部分。</w:t>
      </w:r>
    </w:p>
    <w:p>
      <w:pPr>
        <w:spacing w:line="320" w:lineRule="exact"/>
        <w:ind w:firstLine="480" w:firstLineChars="200"/>
        <w:rPr>
          <w:sz w:val="24"/>
          <w:highlight w:val="green"/>
        </w:rPr>
      </w:pPr>
      <w:r>
        <w:rPr>
          <w:rFonts w:hint="eastAsia"/>
          <w:sz w:val="24"/>
          <w:highlight w:val="green"/>
        </w:rPr>
        <w:t>4.2.4投标人在招标文件要求提交投标文件的截止时间以后至投标有效期满之前的这段时间内,投标人不得修改与撤回其投标文件。</w:t>
      </w:r>
    </w:p>
    <w:p>
      <w:pPr>
        <w:spacing w:line="320" w:lineRule="exact"/>
        <w:ind w:firstLine="480" w:firstLineChars="200"/>
        <w:rPr>
          <w:sz w:val="24"/>
          <w:highlight w:val="green"/>
        </w:rPr>
      </w:pPr>
      <w:r>
        <w:rPr>
          <w:rFonts w:hint="eastAsia"/>
          <w:sz w:val="24"/>
          <w:highlight w:val="green"/>
        </w:rPr>
        <w:t>4.2.5电子投标文件以最后上传的为准。</w:t>
      </w:r>
    </w:p>
    <w:p>
      <w:pPr>
        <w:pStyle w:val="66"/>
        <w:spacing w:before="120" w:after="240" w:line="360" w:lineRule="exact"/>
        <w:rPr>
          <w:rFonts w:cs="Times New Roman"/>
          <w:sz w:val="30"/>
          <w:szCs w:val="30"/>
        </w:rPr>
      </w:pPr>
      <w:r>
        <w:rPr>
          <w:rFonts w:cs="Times New Roman"/>
          <w:sz w:val="30"/>
          <w:szCs w:val="30"/>
        </w:rPr>
        <w:t>5. 开标</w:t>
      </w:r>
      <w:bookmarkEnd w:id="130"/>
      <w:bookmarkEnd w:id="131"/>
      <w:bookmarkEnd w:id="132"/>
      <w:bookmarkEnd w:id="133"/>
      <w:bookmarkEnd w:id="134"/>
    </w:p>
    <w:p>
      <w:pPr>
        <w:pStyle w:val="4"/>
        <w:spacing w:before="120" w:after="120" w:line="300" w:lineRule="exact"/>
        <w:rPr>
          <w:rFonts w:eastAsia="黑体"/>
          <w:b w:val="0"/>
          <w:sz w:val="28"/>
          <w:szCs w:val="28"/>
        </w:rPr>
      </w:pPr>
      <w:bookmarkStart w:id="135" w:name="_Toc144974528"/>
      <w:bookmarkStart w:id="136" w:name="_Toc152042336"/>
      <w:bookmarkStart w:id="137" w:name="_Toc269310947"/>
      <w:bookmarkStart w:id="138" w:name="_Toc312072257"/>
      <w:bookmarkStart w:id="139" w:name="_Toc152045560"/>
      <w:r>
        <w:rPr>
          <w:rFonts w:eastAsia="黑体"/>
          <w:b w:val="0"/>
          <w:sz w:val="28"/>
          <w:szCs w:val="28"/>
        </w:rPr>
        <w:t>5.1 开标时间和</w:t>
      </w:r>
      <w:bookmarkEnd w:id="135"/>
      <w:bookmarkEnd w:id="136"/>
      <w:bookmarkEnd w:id="137"/>
      <w:bookmarkEnd w:id="138"/>
      <w:bookmarkEnd w:id="139"/>
      <w:r>
        <w:rPr>
          <w:rFonts w:hint="eastAsia" w:eastAsia="黑体"/>
          <w:b w:val="0"/>
          <w:sz w:val="28"/>
          <w:szCs w:val="28"/>
        </w:rPr>
        <w:t>方式</w:t>
      </w:r>
    </w:p>
    <w:p>
      <w:pPr>
        <w:pStyle w:val="37"/>
        <w:spacing w:after="0" w:line="340" w:lineRule="exact"/>
        <w:ind w:left="0" w:leftChars="0" w:firstLine="480" w:firstLineChars="200"/>
        <w:rPr>
          <w:sz w:val="24"/>
          <w:szCs w:val="24"/>
          <w:highlight w:val="green"/>
        </w:rPr>
      </w:pPr>
      <w:bookmarkStart w:id="140" w:name="_Toc152045561"/>
      <w:bookmarkStart w:id="141" w:name="_Toc152042337"/>
      <w:bookmarkStart w:id="142" w:name="_Toc269310948"/>
      <w:bookmarkStart w:id="143" w:name="_Toc144974529"/>
      <w:r>
        <w:rPr>
          <w:rFonts w:hint="eastAsia"/>
          <w:sz w:val="24"/>
          <w:szCs w:val="24"/>
          <w:highlight w:val="green"/>
        </w:rPr>
        <w:t>详见投标人须知前附表。</w:t>
      </w:r>
    </w:p>
    <w:p>
      <w:pPr>
        <w:pStyle w:val="4"/>
        <w:spacing w:before="120" w:after="120" w:line="300" w:lineRule="exact"/>
        <w:rPr>
          <w:rFonts w:eastAsia="黑体"/>
          <w:b w:val="0"/>
          <w:sz w:val="28"/>
          <w:szCs w:val="28"/>
        </w:rPr>
      </w:pPr>
      <w:bookmarkStart w:id="144" w:name="_Toc312072258"/>
      <w:r>
        <w:rPr>
          <w:rFonts w:eastAsia="黑体"/>
          <w:b w:val="0"/>
          <w:sz w:val="28"/>
          <w:szCs w:val="28"/>
        </w:rPr>
        <w:t>5.2 开标程序</w:t>
      </w:r>
      <w:bookmarkEnd w:id="140"/>
      <w:bookmarkEnd w:id="141"/>
      <w:bookmarkEnd w:id="142"/>
      <w:bookmarkEnd w:id="143"/>
      <w:bookmarkEnd w:id="144"/>
    </w:p>
    <w:p>
      <w:pPr>
        <w:spacing w:line="340" w:lineRule="exact"/>
        <w:ind w:firstLine="480" w:firstLineChars="200"/>
        <w:rPr>
          <w:sz w:val="24"/>
          <w:highlight w:val="green"/>
        </w:rPr>
      </w:pPr>
      <w:bookmarkStart w:id="145" w:name="_Toc269310949"/>
      <w:bookmarkStart w:id="146" w:name="_Toc312072259"/>
      <w:bookmarkStart w:id="147" w:name="_Toc144974530"/>
      <w:bookmarkStart w:id="148" w:name="_Toc152045562"/>
      <w:bookmarkStart w:id="149" w:name="_Toc152042338"/>
      <w:r>
        <w:rPr>
          <w:rFonts w:hint="eastAsia"/>
          <w:sz w:val="24"/>
          <w:highlight w:val="green"/>
        </w:rPr>
        <w:t>请各投标人认真阅读《济宁市公共资源交易电子交易平台不见面开标系统操作手册（投标人、供应商）》，进行相关操作。</w:t>
      </w:r>
      <w:r>
        <w:rPr>
          <w:sz w:val="24"/>
          <w:highlight w:val="green"/>
        </w:rPr>
        <w:t>主持人</w:t>
      </w:r>
      <w:r>
        <w:rPr>
          <w:rFonts w:hint="eastAsia"/>
          <w:sz w:val="24"/>
          <w:highlight w:val="green"/>
        </w:rPr>
        <w:t>（招标人代表或其委托的代理机构工作人员）通过济宁市公共资源远程不见面开标系统组织</w:t>
      </w:r>
      <w:r>
        <w:rPr>
          <w:sz w:val="24"/>
          <w:highlight w:val="green"/>
        </w:rPr>
        <w:t>开标</w:t>
      </w:r>
      <w:r>
        <w:rPr>
          <w:rFonts w:hint="eastAsia"/>
          <w:sz w:val="24"/>
          <w:highlight w:val="green"/>
        </w:rPr>
        <w:t>，投标人代表无需达到交易中心现场。</w:t>
      </w:r>
    </w:p>
    <w:p>
      <w:pPr>
        <w:spacing w:line="340" w:lineRule="exact"/>
        <w:ind w:firstLine="480" w:firstLineChars="200"/>
        <w:rPr>
          <w:sz w:val="24"/>
          <w:highlight w:val="green"/>
        </w:rPr>
      </w:pPr>
      <w:r>
        <w:rPr>
          <w:rFonts w:hint="eastAsia"/>
          <w:sz w:val="24"/>
          <w:highlight w:val="green"/>
        </w:rPr>
        <w:t>1、开标前准备。提交电子投标文件的投标人需登陆济宁市公共资源远程不见面开标系统且在开标时间前1小时内签到，未按规定签到的投标人视为投标无效，将无法参加项目后续开评标程序。</w:t>
      </w:r>
    </w:p>
    <w:p>
      <w:pPr>
        <w:spacing w:line="340" w:lineRule="exact"/>
        <w:ind w:firstLine="480" w:firstLineChars="200"/>
        <w:rPr>
          <w:sz w:val="24"/>
          <w:highlight w:val="green"/>
        </w:rPr>
      </w:pPr>
      <w:r>
        <w:rPr>
          <w:sz w:val="24"/>
          <w:highlight w:val="green"/>
        </w:rPr>
        <w:t>2</w:t>
      </w:r>
      <w:r>
        <w:rPr>
          <w:rFonts w:hint="eastAsia"/>
          <w:sz w:val="24"/>
          <w:highlight w:val="green"/>
        </w:rPr>
        <w:t>、开标时间到达后，公布投标人名单和投标保证交纳情况。（开具纸质保函的，投标人应将保函扫描件上传至济宁市公共资源电子化交易系统中，保函扫描件应清晰可辨）。</w:t>
      </w:r>
    </w:p>
    <w:p>
      <w:pPr>
        <w:spacing w:line="340" w:lineRule="exact"/>
        <w:ind w:firstLine="480" w:firstLineChars="200"/>
        <w:rPr>
          <w:sz w:val="24"/>
          <w:highlight w:val="green"/>
        </w:rPr>
      </w:pPr>
      <w:r>
        <w:rPr>
          <w:sz w:val="24"/>
          <w:highlight w:val="green"/>
        </w:rPr>
        <w:t>3</w:t>
      </w:r>
      <w:r>
        <w:rPr>
          <w:rFonts w:hint="eastAsia"/>
          <w:sz w:val="24"/>
          <w:highlight w:val="green"/>
        </w:rPr>
        <w:t>、</w:t>
      </w:r>
      <w:r>
        <w:rPr>
          <w:sz w:val="24"/>
          <w:highlight w:val="green"/>
        </w:rPr>
        <w:t>解密</w:t>
      </w:r>
      <w:r>
        <w:rPr>
          <w:rFonts w:hint="eastAsia"/>
          <w:sz w:val="24"/>
          <w:highlight w:val="green"/>
        </w:rPr>
        <w:t>投标文件。自主持人启动网上解密开始15分钟内，投标人通过系统自行解密各自投标文件。因投标人原因造成投标文件未在规定时间内解密的，视为其撤销其投标文件。</w:t>
      </w:r>
    </w:p>
    <w:p>
      <w:pPr>
        <w:spacing w:line="340" w:lineRule="exact"/>
        <w:ind w:firstLine="480" w:firstLineChars="200"/>
        <w:rPr>
          <w:sz w:val="24"/>
          <w:highlight w:val="green"/>
        </w:rPr>
      </w:pPr>
      <w:r>
        <w:rPr>
          <w:sz w:val="24"/>
          <w:highlight w:val="green"/>
        </w:rPr>
        <w:t>4</w:t>
      </w:r>
      <w:r>
        <w:rPr>
          <w:rFonts w:hint="eastAsia"/>
          <w:sz w:val="24"/>
          <w:highlight w:val="green"/>
        </w:rPr>
        <w:t>、公布唱标单。投标人可通过系统查看各投标人投标报价等唱标单内容。</w:t>
      </w:r>
    </w:p>
    <w:p>
      <w:pPr>
        <w:spacing w:line="340" w:lineRule="exact"/>
        <w:ind w:firstLine="480" w:firstLineChars="200"/>
        <w:rPr>
          <w:sz w:val="24"/>
          <w:highlight w:val="green"/>
        </w:rPr>
      </w:pPr>
      <w:r>
        <w:rPr>
          <w:rFonts w:hint="eastAsia"/>
          <w:sz w:val="24"/>
          <w:highlight w:val="green"/>
        </w:rPr>
        <w:t>5、抽取相关系数并由投标人确认开标记录。</w:t>
      </w:r>
    </w:p>
    <w:p>
      <w:pPr>
        <w:spacing w:line="340" w:lineRule="exact"/>
        <w:ind w:firstLine="480" w:firstLineChars="200"/>
        <w:rPr>
          <w:sz w:val="24"/>
          <w:highlight w:val="green"/>
        </w:rPr>
      </w:pPr>
      <w:r>
        <w:rPr>
          <w:rFonts w:hint="eastAsia"/>
          <w:sz w:val="24"/>
          <w:highlight w:val="green"/>
        </w:rPr>
        <w:t>（1）需要抽取相关系数的项目，由招标人代表或招标代理机构通过系统随机抽取。</w:t>
      </w:r>
    </w:p>
    <w:p>
      <w:pPr>
        <w:spacing w:line="340" w:lineRule="exact"/>
        <w:ind w:firstLine="480" w:firstLineChars="200"/>
        <w:rPr>
          <w:sz w:val="24"/>
          <w:highlight w:val="green"/>
        </w:rPr>
      </w:pPr>
      <w:r>
        <w:rPr>
          <w:rFonts w:hint="eastAsia"/>
          <w:sz w:val="24"/>
          <w:highlight w:val="green"/>
        </w:rPr>
        <w:t>（2）自主持人启动开标结果确认开始4分钟内，各投标人进行确认，未在规定时间内确认的，系统默认该投标人认可开标结果。</w:t>
      </w:r>
    </w:p>
    <w:p>
      <w:pPr>
        <w:spacing w:line="340" w:lineRule="exact"/>
        <w:ind w:firstLine="480" w:firstLineChars="200"/>
        <w:rPr>
          <w:sz w:val="24"/>
          <w:highlight w:val="green"/>
        </w:rPr>
      </w:pPr>
      <w:r>
        <w:rPr>
          <w:rFonts w:hint="eastAsia"/>
          <w:sz w:val="24"/>
          <w:highlight w:val="green"/>
        </w:rPr>
        <w:t>6、开标会议结束。</w:t>
      </w:r>
    </w:p>
    <w:p>
      <w:pPr>
        <w:pStyle w:val="66"/>
        <w:spacing w:before="120" w:after="240" w:line="360" w:lineRule="exact"/>
        <w:rPr>
          <w:rFonts w:cs="Times New Roman"/>
          <w:sz w:val="30"/>
          <w:szCs w:val="30"/>
        </w:rPr>
      </w:pPr>
      <w:r>
        <w:rPr>
          <w:rFonts w:cs="Times New Roman"/>
          <w:sz w:val="30"/>
          <w:szCs w:val="30"/>
        </w:rPr>
        <w:t>6. 评标</w:t>
      </w:r>
      <w:bookmarkEnd w:id="145"/>
      <w:bookmarkEnd w:id="146"/>
      <w:bookmarkEnd w:id="147"/>
      <w:bookmarkEnd w:id="148"/>
      <w:bookmarkEnd w:id="149"/>
    </w:p>
    <w:p>
      <w:pPr>
        <w:spacing w:line="340" w:lineRule="exact"/>
        <w:ind w:firstLine="480" w:firstLineChars="200"/>
        <w:rPr>
          <w:sz w:val="24"/>
        </w:rPr>
      </w:pPr>
      <w:r>
        <w:rPr>
          <w:sz w:val="24"/>
        </w:rPr>
        <w:t>评标按下列程序进行：</w:t>
      </w:r>
    </w:p>
    <w:p>
      <w:pPr>
        <w:spacing w:line="340" w:lineRule="exact"/>
        <w:ind w:firstLine="480" w:firstLineChars="200"/>
        <w:rPr>
          <w:sz w:val="24"/>
        </w:rPr>
      </w:pPr>
      <w:r>
        <w:rPr>
          <w:rFonts w:hint="eastAsia"/>
          <w:sz w:val="24"/>
        </w:rPr>
        <w:t>（1）</w:t>
      </w:r>
      <w:r>
        <w:rPr>
          <w:sz w:val="24"/>
        </w:rPr>
        <w:t>组建评标委员会</w:t>
      </w:r>
      <w:r>
        <w:rPr>
          <w:rFonts w:hint="eastAsia"/>
          <w:sz w:val="24"/>
        </w:rPr>
        <w:t>；</w:t>
      </w:r>
    </w:p>
    <w:p>
      <w:pPr>
        <w:spacing w:line="340" w:lineRule="exact"/>
        <w:ind w:firstLine="480" w:firstLineChars="200"/>
        <w:rPr>
          <w:sz w:val="24"/>
        </w:rPr>
      </w:pPr>
      <w:r>
        <w:rPr>
          <w:rFonts w:hint="eastAsia"/>
          <w:sz w:val="24"/>
        </w:rPr>
        <w:t>（2）</w:t>
      </w:r>
      <w:r>
        <w:rPr>
          <w:sz w:val="24"/>
        </w:rPr>
        <w:t>评标准备工作。评标委员会成员熟悉招标文件等相关文件资料，</w:t>
      </w:r>
      <w:r>
        <w:rPr>
          <w:rFonts w:hint="eastAsia"/>
          <w:sz w:val="24"/>
        </w:rPr>
        <w:t>做</w:t>
      </w:r>
      <w:r>
        <w:rPr>
          <w:sz w:val="24"/>
        </w:rPr>
        <w:t>出清标工作安排</w:t>
      </w:r>
      <w:r>
        <w:rPr>
          <w:rFonts w:hint="eastAsia"/>
          <w:sz w:val="24"/>
        </w:rPr>
        <w:t>；</w:t>
      </w:r>
    </w:p>
    <w:p>
      <w:pPr>
        <w:spacing w:line="340" w:lineRule="exact"/>
        <w:ind w:firstLine="480" w:firstLineChars="200"/>
        <w:rPr>
          <w:sz w:val="24"/>
        </w:rPr>
      </w:pPr>
      <w:r>
        <w:rPr>
          <w:rFonts w:hint="eastAsia"/>
          <w:sz w:val="24"/>
        </w:rPr>
        <w:t>（3）</w:t>
      </w:r>
      <w:r>
        <w:rPr>
          <w:sz w:val="24"/>
        </w:rPr>
        <w:t>清标</w:t>
      </w:r>
      <w:r>
        <w:rPr>
          <w:rFonts w:hint="eastAsia"/>
          <w:sz w:val="24"/>
        </w:rPr>
        <w:t>；</w:t>
      </w:r>
    </w:p>
    <w:p>
      <w:pPr>
        <w:spacing w:line="340" w:lineRule="exact"/>
        <w:ind w:firstLine="480" w:firstLineChars="200"/>
        <w:rPr>
          <w:sz w:val="24"/>
        </w:rPr>
      </w:pPr>
      <w:r>
        <w:rPr>
          <w:rFonts w:hint="eastAsia"/>
          <w:sz w:val="24"/>
        </w:rPr>
        <w:t>（4）</w:t>
      </w:r>
      <w:r>
        <w:rPr>
          <w:sz w:val="24"/>
        </w:rPr>
        <w:t>初步评审</w:t>
      </w:r>
      <w:r>
        <w:rPr>
          <w:rFonts w:hint="eastAsia"/>
          <w:sz w:val="24"/>
        </w:rPr>
        <w:t>；</w:t>
      </w:r>
    </w:p>
    <w:p>
      <w:pPr>
        <w:spacing w:line="340" w:lineRule="exact"/>
        <w:ind w:firstLine="480" w:firstLineChars="200"/>
        <w:rPr>
          <w:sz w:val="24"/>
        </w:rPr>
      </w:pPr>
      <w:r>
        <w:rPr>
          <w:rFonts w:hint="eastAsia"/>
          <w:sz w:val="24"/>
        </w:rPr>
        <w:t>（5）</w:t>
      </w:r>
      <w:r>
        <w:rPr>
          <w:sz w:val="24"/>
        </w:rPr>
        <w:t>详细评审</w:t>
      </w:r>
      <w:r>
        <w:rPr>
          <w:rFonts w:hint="eastAsia"/>
          <w:sz w:val="24"/>
        </w:rPr>
        <w:t>；</w:t>
      </w:r>
    </w:p>
    <w:p>
      <w:pPr>
        <w:spacing w:line="340" w:lineRule="exact"/>
        <w:ind w:firstLine="480" w:firstLineChars="200"/>
        <w:rPr>
          <w:sz w:val="24"/>
        </w:rPr>
      </w:pPr>
      <w:r>
        <w:rPr>
          <w:rFonts w:hint="eastAsia"/>
          <w:sz w:val="24"/>
        </w:rPr>
        <w:t>（6）</w:t>
      </w:r>
      <w:r>
        <w:rPr>
          <w:sz w:val="24"/>
        </w:rPr>
        <w:t>向招标人提交书面评标报告</w:t>
      </w:r>
      <w:r>
        <w:rPr>
          <w:rFonts w:hint="eastAsia"/>
          <w:sz w:val="24"/>
        </w:rPr>
        <w:t>。</w:t>
      </w:r>
    </w:p>
    <w:p>
      <w:pPr>
        <w:spacing w:line="360" w:lineRule="auto"/>
        <w:ind w:firstLine="480" w:firstLineChars="200"/>
        <w:rPr>
          <w:sz w:val="24"/>
        </w:rPr>
      </w:pPr>
      <w:r>
        <w:rPr>
          <w:rFonts w:hint="eastAsia"/>
          <w:sz w:val="24"/>
        </w:rPr>
        <w:t>评标活动遵循公平、公正、科学和择优的原则。</w:t>
      </w:r>
    </w:p>
    <w:p>
      <w:pPr>
        <w:spacing w:line="360" w:lineRule="auto"/>
        <w:ind w:firstLine="480" w:firstLineChars="200"/>
        <w:rPr>
          <w:rFonts w:hint="eastAsia"/>
          <w:sz w:val="24"/>
        </w:rPr>
      </w:pPr>
      <w:bookmarkStart w:id="150" w:name="_Toc269310950"/>
      <w:bookmarkStart w:id="151" w:name="_Toc152042339"/>
      <w:bookmarkStart w:id="152" w:name="_Toc152045563"/>
      <w:bookmarkStart w:id="153" w:name="_Toc312072260"/>
      <w:bookmarkStart w:id="154" w:name="_Toc144974531"/>
      <w:r>
        <w:rPr>
          <w:rFonts w:hint="eastAsia"/>
          <w:sz w:val="24"/>
        </w:rPr>
        <w:t>评标委员会在作出任何一项无效标（本招标文件中的否决其投标、废标等否决投标统称无效标）决定前，将通过不见面系统告知当事投标人。</w:t>
      </w:r>
    </w:p>
    <w:p>
      <w:pPr>
        <w:pStyle w:val="4"/>
        <w:spacing w:before="120" w:after="240" w:line="360" w:lineRule="exact"/>
        <w:rPr>
          <w:rFonts w:eastAsia="黑体"/>
          <w:b w:val="0"/>
          <w:sz w:val="28"/>
          <w:szCs w:val="28"/>
        </w:rPr>
      </w:pPr>
      <w:r>
        <w:rPr>
          <w:rFonts w:eastAsia="黑体"/>
          <w:b w:val="0"/>
          <w:sz w:val="28"/>
          <w:szCs w:val="28"/>
        </w:rPr>
        <w:t xml:space="preserve">6.1 </w:t>
      </w:r>
      <w:r>
        <w:rPr>
          <w:rFonts w:hint="eastAsia" w:eastAsia="黑体"/>
          <w:b w:val="0"/>
          <w:sz w:val="28"/>
          <w:szCs w:val="28"/>
        </w:rPr>
        <w:t>组建</w:t>
      </w:r>
      <w:r>
        <w:rPr>
          <w:rFonts w:eastAsia="黑体"/>
          <w:b w:val="0"/>
          <w:sz w:val="28"/>
          <w:szCs w:val="28"/>
        </w:rPr>
        <w:t>评标委员会</w:t>
      </w:r>
      <w:bookmarkEnd w:id="150"/>
      <w:bookmarkEnd w:id="151"/>
      <w:bookmarkEnd w:id="152"/>
      <w:bookmarkEnd w:id="153"/>
      <w:bookmarkEnd w:id="154"/>
    </w:p>
    <w:p>
      <w:pPr>
        <w:spacing w:line="340" w:lineRule="exact"/>
        <w:ind w:firstLine="480" w:firstLineChars="200"/>
        <w:rPr>
          <w:sz w:val="24"/>
          <w:highlight w:val="cyan"/>
        </w:rPr>
      </w:pPr>
      <w:r>
        <w:rPr>
          <w:sz w:val="24"/>
          <w:highlight w:val="cyan"/>
        </w:rPr>
        <w:t>6.1.1</w:t>
      </w:r>
      <w:r>
        <w:rPr>
          <w:rFonts w:hint="eastAsia"/>
          <w:sz w:val="24"/>
          <w:highlight w:val="cyan"/>
        </w:rPr>
        <w:t xml:space="preserve"> 评标委员会由招标人依法组建，一般由招标人的代表和有关技术、经济等方面的专家组成。评标委员会中招标人的代表应当具备法律、法规和规章规定的评标专家条件。无符合条件人选的，从评标专家库中随机抽取。</w:t>
      </w:r>
    </w:p>
    <w:p>
      <w:pPr>
        <w:spacing w:line="340" w:lineRule="exact"/>
        <w:ind w:firstLine="480" w:firstLineChars="200"/>
        <w:rPr>
          <w:sz w:val="24"/>
          <w:highlight w:val="cyan"/>
        </w:rPr>
      </w:pPr>
      <w:r>
        <w:rPr>
          <w:rFonts w:hint="eastAsia"/>
          <w:sz w:val="24"/>
          <w:highlight w:val="cyan"/>
        </w:rPr>
        <w:t>依法必须进行招标的工程所需评标专家，应当从山东省综合评标评审专家库中随机抽取。使用国有资金工程项目的评标委员会成员，可以全部从评标专家库中随机抽取。</w:t>
      </w:r>
    </w:p>
    <w:p>
      <w:pPr>
        <w:spacing w:line="340" w:lineRule="exact"/>
        <w:ind w:firstLine="480" w:firstLineChars="200"/>
        <w:rPr>
          <w:sz w:val="24"/>
          <w:highlight w:val="cyan"/>
        </w:rPr>
      </w:pPr>
      <w:r>
        <w:rPr>
          <w:rFonts w:hint="eastAsia"/>
          <w:sz w:val="24"/>
          <w:highlight w:val="cyan"/>
        </w:rPr>
        <w:t>评标委员会中，通过随机抽取的评标专家，来自同一单位的只能为1人。评标委员会成员的名单在中标通知书发出前应当保密。随机抽取评标专家应当使用山东省综合评标评审专家库系统。</w:t>
      </w:r>
    </w:p>
    <w:p>
      <w:pPr>
        <w:spacing w:line="340" w:lineRule="exact"/>
        <w:ind w:firstLine="480" w:firstLineChars="200"/>
        <w:rPr>
          <w:sz w:val="24"/>
          <w:highlight w:val="green"/>
        </w:rPr>
      </w:pPr>
      <w:r>
        <w:rPr>
          <w:rFonts w:hint="eastAsia"/>
          <w:sz w:val="24"/>
          <w:highlight w:val="green"/>
        </w:rPr>
        <w:t>注：疫情防控期间，招标人可按照《国家发展改革委办公厅关于积极应对疫情创新做好招投标工作保障经济平稳运行的通知》（发改电【2020】170号）文的相关要求组建评标委员会。</w:t>
      </w:r>
    </w:p>
    <w:p>
      <w:pPr>
        <w:spacing w:line="340" w:lineRule="exact"/>
        <w:ind w:firstLine="480" w:firstLineChars="200"/>
        <w:rPr>
          <w:sz w:val="24"/>
        </w:rPr>
      </w:pPr>
      <w:r>
        <w:rPr>
          <w:rFonts w:hint="eastAsia"/>
          <w:sz w:val="24"/>
        </w:rPr>
        <w:t>6.1.2评标委员会成员有下列情形之一的，应当回避：</w:t>
      </w:r>
    </w:p>
    <w:p>
      <w:pPr>
        <w:spacing w:line="340" w:lineRule="exact"/>
        <w:ind w:firstLine="480" w:firstLineChars="200"/>
        <w:rPr>
          <w:sz w:val="24"/>
        </w:rPr>
      </w:pPr>
      <w:r>
        <w:rPr>
          <w:rFonts w:hint="eastAsia"/>
          <w:sz w:val="24"/>
        </w:rPr>
        <w:t>（1）招标人或投标人的主要负责人的近亲属；</w:t>
      </w:r>
    </w:p>
    <w:p>
      <w:pPr>
        <w:spacing w:line="340" w:lineRule="exact"/>
        <w:ind w:firstLine="480" w:firstLineChars="200"/>
        <w:rPr>
          <w:sz w:val="24"/>
        </w:rPr>
      </w:pPr>
      <w:r>
        <w:rPr>
          <w:rFonts w:hint="eastAsia"/>
          <w:sz w:val="24"/>
        </w:rPr>
        <w:t>（2）项目主管部门或者行政监督部门的人员：</w:t>
      </w:r>
    </w:p>
    <w:p>
      <w:pPr>
        <w:spacing w:line="340" w:lineRule="exact"/>
        <w:ind w:firstLine="480" w:firstLineChars="200"/>
        <w:rPr>
          <w:sz w:val="24"/>
        </w:rPr>
      </w:pPr>
      <w:r>
        <w:rPr>
          <w:rFonts w:hint="eastAsia"/>
          <w:sz w:val="24"/>
        </w:rPr>
        <w:t>（3）与投标人有经济利益关系，可能影响对投标公正评审的；</w:t>
      </w:r>
    </w:p>
    <w:p>
      <w:pPr>
        <w:spacing w:line="340" w:lineRule="exact"/>
        <w:ind w:firstLine="480" w:firstLineChars="200"/>
        <w:rPr>
          <w:sz w:val="24"/>
        </w:rPr>
      </w:pPr>
      <w:r>
        <w:rPr>
          <w:rFonts w:hint="eastAsia"/>
          <w:sz w:val="24"/>
        </w:rPr>
        <w:t>（4）曾因在招标、评标以及其他与招标投标有关活动中从事违法行为而受过行政处罚或刑事处罚的。</w:t>
      </w:r>
    </w:p>
    <w:p>
      <w:pPr>
        <w:pStyle w:val="65"/>
        <w:tabs>
          <w:tab w:val="left" w:pos="2620"/>
        </w:tabs>
        <w:rPr>
          <w:rFonts w:cs="Times New Roman"/>
          <w:bCs/>
          <w:sz w:val="28"/>
          <w:szCs w:val="28"/>
        </w:rPr>
      </w:pPr>
      <w:bookmarkStart w:id="155" w:name="_Toc179632582"/>
      <w:bookmarkStart w:id="156" w:name="_Toc152045564"/>
      <w:bookmarkStart w:id="157" w:name="_Toc152042340"/>
      <w:bookmarkStart w:id="158" w:name="_Toc144974532"/>
      <w:r>
        <w:rPr>
          <w:rFonts w:hint="eastAsia" w:cs="Times New Roman"/>
          <w:bCs/>
          <w:sz w:val="28"/>
          <w:szCs w:val="28"/>
        </w:rPr>
        <w:t>6.2 评标原则</w:t>
      </w:r>
      <w:bookmarkEnd w:id="155"/>
      <w:bookmarkEnd w:id="156"/>
      <w:bookmarkEnd w:id="157"/>
      <w:bookmarkEnd w:id="158"/>
      <w:r>
        <w:rPr>
          <w:rFonts w:cs="Times New Roman"/>
          <w:bCs/>
          <w:sz w:val="28"/>
          <w:szCs w:val="28"/>
        </w:rPr>
        <w:tab/>
      </w:r>
    </w:p>
    <w:p>
      <w:pPr>
        <w:spacing w:line="340" w:lineRule="exact"/>
        <w:ind w:firstLine="480" w:firstLineChars="200"/>
        <w:rPr>
          <w:sz w:val="24"/>
        </w:rPr>
      </w:pPr>
      <w:r>
        <w:rPr>
          <w:rFonts w:hint="eastAsia"/>
          <w:sz w:val="24"/>
        </w:rPr>
        <w:t>评标活动遵循公平、公正、科学和择优的原则。</w:t>
      </w:r>
      <w:bookmarkStart w:id="159" w:name="_Toc417408912"/>
    </w:p>
    <w:p>
      <w:pPr>
        <w:spacing w:line="340" w:lineRule="exact"/>
        <w:ind w:firstLine="560" w:firstLineChars="200"/>
        <w:rPr>
          <w:sz w:val="24"/>
        </w:rPr>
      </w:pPr>
      <w:r>
        <w:rPr>
          <w:rFonts w:hint="eastAsia" w:eastAsia="黑体"/>
          <w:sz w:val="28"/>
          <w:szCs w:val="28"/>
        </w:rPr>
        <w:t>评标准备</w:t>
      </w:r>
      <w:bookmarkEnd w:id="159"/>
    </w:p>
    <w:p>
      <w:pPr>
        <w:spacing w:line="340" w:lineRule="exact"/>
        <w:ind w:firstLine="480" w:firstLineChars="200"/>
        <w:rPr>
          <w:sz w:val="24"/>
        </w:rPr>
      </w:pPr>
      <w:r>
        <w:rPr>
          <w:sz w:val="24"/>
        </w:rPr>
        <w:t>6.</w:t>
      </w:r>
      <w:r>
        <w:rPr>
          <w:rFonts w:hint="eastAsia"/>
          <w:sz w:val="24"/>
        </w:rPr>
        <w:t>2</w:t>
      </w:r>
      <w:r>
        <w:rPr>
          <w:sz w:val="24"/>
        </w:rPr>
        <w:t>.1</w:t>
      </w:r>
      <w:r>
        <w:rPr>
          <w:rFonts w:hint="eastAsia"/>
          <w:sz w:val="24"/>
        </w:rPr>
        <w:t>评标委员会成员签到</w:t>
      </w:r>
    </w:p>
    <w:p>
      <w:pPr>
        <w:spacing w:line="340" w:lineRule="exact"/>
        <w:ind w:firstLine="480" w:firstLineChars="200"/>
        <w:rPr>
          <w:sz w:val="24"/>
        </w:rPr>
      </w:pPr>
      <w:r>
        <w:rPr>
          <w:rFonts w:hint="eastAsia"/>
          <w:sz w:val="24"/>
        </w:rPr>
        <w:t>评标委员会成员到达评标现场时应在签到表上签到以证明其出席。</w:t>
      </w:r>
    </w:p>
    <w:p>
      <w:pPr>
        <w:spacing w:line="340" w:lineRule="exact"/>
        <w:ind w:firstLine="480" w:firstLineChars="200"/>
        <w:rPr>
          <w:sz w:val="24"/>
        </w:rPr>
      </w:pPr>
      <w:r>
        <w:rPr>
          <w:sz w:val="24"/>
        </w:rPr>
        <w:t>6.</w:t>
      </w:r>
      <w:r>
        <w:rPr>
          <w:rFonts w:hint="eastAsia"/>
          <w:sz w:val="24"/>
        </w:rPr>
        <w:t>2</w:t>
      </w:r>
      <w:r>
        <w:rPr>
          <w:sz w:val="24"/>
        </w:rPr>
        <w:t>.</w:t>
      </w:r>
      <w:r>
        <w:rPr>
          <w:rFonts w:hint="eastAsia"/>
          <w:sz w:val="24"/>
        </w:rPr>
        <w:t>2评标委员会的分工</w:t>
      </w:r>
    </w:p>
    <w:p>
      <w:pPr>
        <w:spacing w:line="340" w:lineRule="exact"/>
        <w:ind w:firstLine="480" w:firstLineChars="200"/>
        <w:rPr>
          <w:sz w:val="24"/>
        </w:rPr>
      </w:pPr>
      <w:r>
        <w:rPr>
          <w:rFonts w:hint="eastAsia"/>
          <w:sz w:val="24"/>
        </w:rPr>
        <w:t>评标委员会可以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spacing w:line="340" w:lineRule="exact"/>
        <w:ind w:firstLine="480" w:firstLineChars="200"/>
        <w:rPr>
          <w:sz w:val="24"/>
        </w:rPr>
      </w:pPr>
      <w:r>
        <w:rPr>
          <w:sz w:val="24"/>
        </w:rPr>
        <w:t>6.</w:t>
      </w:r>
      <w:r>
        <w:rPr>
          <w:rFonts w:hint="eastAsia"/>
          <w:sz w:val="24"/>
        </w:rPr>
        <w:t>2</w:t>
      </w:r>
      <w:r>
        <w:rPr>
          <w:sz w:val="24"/>
        </w:rPr>
        <w:t>.</w:t>
      </w:r>
      <w:r>
        <w:rPr>
          <w:rFonts w:hint="eastAsia"/>
          <w:sz w:val="24"/>
        </w:rPr>
        <w:t>3熟悉文件资料</w:t>
      </w:r>
    </w:p>
    <w:p>
      <w:pPr>
        <w:spacing w:line="340" w:lineRule="exact"/>
        <w:ind w:firstLine="480" w:firstLineChars="200"/>
        <w:rPr>
          <w:sz w:val="24"/>
        </w:rPr>
      </w:pPr>
      <w:r>
        <w:rPr>
          <w:rFonts w:hint="eastAsia"/>
          <w:sz w:val="24"/>
        </w:rPr>
        <w:t>（1）评标委员会成员认真研究招标文件，了解和熟悉招标目的、招标范围、主要合同条件、技术标准和要求、质量标准和工期要求等，掌握评标标准和方法，熟悉本章及附件中包括的评标表格的使用。未在招标文件中规定的标准和方法不得作为评标的依据。</w:t>
      </w:r>
    </w:p>
    <w:p>
      <w:pPr>
        <w:spacing w:line="340" w:lineRule="exact"/>
        <w:ind w:firstLine="480" w:firstLineChars="200"/>
        <w:rPr>
          <w:sz w:val="24"/>
        </w:rPr>
      </w:pPr>
      <w:r>
        <w:rPr>
          <w:rFonts w:hint="eastAsia"/>
          <w:sz w:val="24"/>
        </w:rPr>
        <w:t>（2）招标人应向评标委员会提供评标所需的信息和数据，包括招标文件、投标文件、开标会记录、</w:t>
      </w:r>
      <w:r>
        <w:rPr>
          <w:rFonts w:hint="eastAsia"/>
          <w:color w:val="FF0000"/>
          <w:sz w:val="24"/>
        </w:rPr>
        <w:t>招标控制价</w:t>
      </w:r>
      <w:r>
        <w:rPr>
          <w:rFonts w:hint="eastAsia"/>
          <w:sz w:val="24"/>
        </w:rPr>
        <w:t>、工程所在地工程造价管理部门颁布的工程造价信息、定额以及评标委员会认为必要的其他信息和数据。</w:t>
      </w:r>
    </w:p>
    <w:p>
      <w:pPr>
        <w:pStyle w:val="4"/>
        <w:spacing w:before="120" w:after="240" w:line="360" w:lineRule="exact"/>
        <w:rPr>
          <w:rFonts w:eastAsia="黑体"/>
          <w:b w:val="0"/>
          <w:sz w:val="28"/>
          <w:szCs w:val="28"/>
        </w:rPr>
      </w:pPr>
      <w:bookmarkStart w:id="160" w:name="_Toc312072261"/>
      <w:r>
        <w:rPr>
          <w:rFonts w:eastAsia="黑体"/>
          <w:b w:val="0"/>
          <w:sz w:val="28"/>
          <w:szCs w:val="28"/>
        </w:rPr>
        <w:t>6.</w:t>
      </w:r>
      <w:r>
        <w:rPr>
          <w:rFonts w:hint="eastAsia" w:eastAsia="黑体"/>
          <w:b w:val="0"/>
          <w:sz w:val="28"/>
          <w:szCs w:val="28"/>
        </w:rPr>
        <w:t>3清标</w:t>
      </w:r>
      <w:bookmarkEnd w:id="160"/>
    </w:p>
    <w:p>
      <w:pPr>
        <w:spacing w:line="320" w:lineRule="exact"/>
        <w:ind w:firstLine="480" w:firstLineChars="200"/>
        <w:rPr>
          <w:sz w:val="24"/>
        </w:rPr>
      </w:pPr>
      <w:r>
        <w:rPr>
          <w:rFonts w:hint="eastAsia"/>
          <w:sz w:val="24"/>
        </w:rPr>
        <w:t>6.3.1 在不改变投标人投标文件实质性内容的前提下，评标委员会对投标文件进行基础性数据分析和整理（本章中简称为“清标”），从而发现并提取其中可能存在的对招标范围理解的偏差、投标报价的算术性错误、错漏项、投标报价构成不合理、不平衡报价等明显异常的问题，并就这些问题整理形成清标结果。</w:t>
      </w:r>
    </w:p>
    <w:p>
      <w:pPr>
        <w:spacing w:line="320" w:lineRule="exact"/>
        <w:ind w:firstLine="480" w:firstLineChars="200"/>
        <w:rPr>
          <w:sz w:val="24"/>
        </w:rPr>
      </w:pPr>
      <w:r>
        <w:rPr>
          <w:rFonts w:hint="eastAsia"/>
          <w:sz w:val="24"/>
        </w:rPr>
        <w:t xml:space="preserve">6.3.2 </w:t>
      </w:r>
      <w:r>
        <w:rPr>
          <w:sz w:val="24"/>
        </w:rPr>
        <w:t>清标由评标委员会负责完成。</w:t>
      </w:r>
    </w:p>
    <w:p>
      <w:pPr>
        <w:spacing w:line="320" w:lineRule="exact"/>
        <w:ind w:firstLine="480" w:firstLineChars="200"/>
        <w:rPr>
          <w:sz w:val="24"/>
        </w:rPr>
      </w:pPr>
      <w:r>
        <w:rPr>
          <w:rFonts w:hint="eastAsia"/>
          <w:sz w:val="24"/>
        </w:rPr>
        <w:t>6.3.3清标工作的主要内容包括：</w:t>
      </w:r>
    </w:p>
    <w:p>
      <w:pPr>
        <w:spacing w:line="320" w:lineRule="exact"/>
        <w:ind w:firstLine="480" w:firstLineChars="200"/>
        <w:rPr>
          <w:sz w:val="24"/>
        </w:rPr>
      </w:pPr>
      <w:r>
        <w:rPr>
          <w:rFonts w:hint="eastAsia"/>
          <w:sz w:val="24"/>
        </w:rPr>
        <w:t>（1）投标文件可能存在的对招标范围理解的偏差、投标报价的算术计算错误等；</w:t>
      </w:r>
    </w:p>
    <w:p>
      <w:pPr>
        <w:spacing w:line="320" w:lineRule="exact"/>
        <w:ind w:firstLine="480" w:firstLineChars="200"/>
        <w:rPr>
          <w:sz w:val="24"/>
        </w:rPr>
      </w:pPr>
      <w:r>
        <w:rPr>
          <w:rFonts w:hint="eastAsia"/>
          <w:sz w:val="24"/>
        </w:rPr>
        <w:t>（2）投标报价的错漏项、投标报价构成不合理、不平衡报价等存在明显异常的问题；</w:t>
      </w:r>
    </w:p>
    <w:p>
      <w:pPr>
        <w:spacing w:line="320" w:lineRule="exact"/>
        <w:ind w:firstLine="480" w:firstLineChars="200"/>
        <w:rPr>
          <w:sz w:val="24"/>
        </w:rPr>
      </w:pPr>
      <w:r>
        <w:rPr>
          <w:rFonts w:hint="eastAsia"/>
          <w:sz w:val="24"/>
        </w:rPr>
        <w:t>（3）投标人填写的项目编码、项目名称、项目特征、计量单位、工程数量是否与招标人提供的一致；</w:t>
      </w:r>
    </w:p>
    <w:p>
      <w:pPr>
        <w:spacing w:line="320" w:lineRule="exact"/>
        <w:ind w:firstLine="480" w:firstLineChars="200"/>
        <w:rPr>
          <w:sz w:val="24"/>
        </w:rPr>
      </w:pPr>
      <w:r>
        <w:rPr>
          <w:rFonts w:hint="eastAsia"/>
          <w:sz w:val="24"/>
        </w:rPr>
        <w:t>（4）规费（包括安全文明施工费）、税金是否按国家、省、市相关规定计取；</w:t>
      </w:r>
    </w:p>
    <w:p>
      <w:pPr>
        <w:spacing w:line="320" w:lineRule="exact"/>
        <w:ind w:firstLine="480" w:firstLineChars="200"/>
        <w:rPr>
          <w:sz w:val="24"/>
        </w:rPr>
      </w:pPr>
      <w:r>
        <w:rPr>
          <w:rFonts w:hint="eastAsia"/>
          <w:sz w:val="24"/>
        </w:rPr>
        <w:t>（5）投标人的清单项目综合单价与综合单价分析表是否一致等。</w:t>
      </w:r>
    </w:p>
    <w:p>
      <w:pPr>
        <w:spacing w:line="320" w:lineRule="exact"/>
        <w:ind w:firstLine="480" w:firstLineChars="200"/>
        <w:rPr>
          <w:sz w:val="24"/>
        </w:rPr>
      </w:pPr>
      <w:r>
        <w:rPr>
          <w:rFonts w:hint="eastAsia"/>
          <w:sz w:val="24"/>
          <w:highlight w:val="yellow"/>
        </w:rPr>
        <w:t>评审时如进行电子清标，评标委员会负责对电子清标结果的复核和确认。</w:t>
      </w:r>
    </w:p>
    <w:p>
      <w:pPr>
        <w:spacing w:line="320" w:lineRule="exact"/>
        <w:ind w:firstLine="480" w:firstLineChars="200"/>
        <w:rPr>
          <w:sz w:val="24"/>
        </w:rPr>
      </w:pPr>
      <w:r>
        <w:rPr>
          <w:rFonts w:hint="eastAsia"/>
          <w:sz w:val="24"/>
        </w:rPr>
        <w:t>评标委员会对清标成果审议后，决定需要投标人进行书面澄清、说明或补正的问题，形成质疑问卷，向投标人发出问题澄清通知（包括质疑问卷）。</w:t>
      </w:r>
    </w:p>
    <w:p>
      <w:pPr>
        <w:spacing w:line="320" w:lineRule="exact"/>
        <w:ind w:firstLine="480" w:firstLineChars="200"/>
        <w:rPr>
          <w:sz w:val="24"/>
          <w:highlight w:val="green"/>
        </w:rPr>
      </w:pPr>
      <w:r>
        <w:rPr>
          <w:rFonts w:hint="eastAsia"/>
          <w:sz w:val="24"/>
          <w:highlight w:val="green"/>
        </w:rPr>
        <w:t>投标人接到评标委员会要求的问题澄清通知后，应按要求通过系统及时进行回复。</w:t>
      </w:r>
    </w:p>
    <w:p>
      <w:pPr>
        <w:spacing w:line="320" w:lineRule="exact"/>
        <w:ind w:firstLine="480" w:firstLineChars="200"/>
        <w:rPr>
          <w:sz w:val="24"/>
        </w:rPr>
      </w:pPr>
      <w:r>
        <w:rPr>
          <w:rFonts w:hint="eastAsia"/>
          <w:sz w:val="24"/>
        </w:rPr>
        <w:t>6.3.4</w:t>
      </w:r>
      <w:r>
        <w:rPr>
          <w:sz w:val="24"/>
        </w:rPr>
        <w:t>清标工作结束后应形成书面的清标情况报告，清标情况报告应当包括以下内容：</w:t>
      </w:r>
    </w:p>
    <w:p>
      <w:pPr>
        <w:spacing w:line="320" w:lineRule="exact"/>
        <w:ind w:firstLine="480" w:firstLineChars="200"/>
        <w:rPr>
          <w:sz w:val="24"/>
        </w:rPr>
      </w:pPr>
      <w:r>
        <w:rPr>
          <w:sz w:val="24"/>
        </w:rPr>
        <w:t>（</w:t>
      </w:r>
      <w:r>
        <w:rPr>
          <w:rFonts w:hint="eastAsia"/>
          <w:sz w:val="24"/>
        </w:rPr>
        <w:t>1</w:t>
      </w:r>
      <w:r>
        <w:rPr>
          <w:sz w:val="24"/>
        </w:rPr>
        <w:t>）对投标报价进行换算的依据和换算结果</w:t>
      </w:r>
      <w:r>
        <w:rPr>
          <w:rFonts w:hint="eastAsia"/>
          <w:sz w:val="24"/>
        </w:rPr>
        <w:t>；</w:t>
      </w:r>
    </w:p>
    <w:p>
      <w:pPr>
        <w:spacing w:line="320" w:lineRule="exact"/>
        <w:ind w:firstLine="480" w:firstLineChars="200"/>
        <w:rPr>
          <w:sz w:val="24"/>
        </w:rPr>
      </w:pPr>
      <w:r>
        <w:rPr>
          <w:sz w:val="24"/>
        </w:rPr>
        <w:t>（</w:t>
      </w:r>
      <w:r>
        <w:rPr>
          <w:rFonts w:hint="eastAsia"/>
          <w:sz w:val="24"/>
        </w:rPr>
        <w:t>2</w:t>
      </w:r>
      <w:r>
        <w:rPr>
          <w:sz w:val="24"/>
        </w:rPr>
        <w:t>）投标文件存在的算术计算错误和修正结果</w:t>
      </w:r>
      <w:r>
        <w:rPr>
          <w:rFonts w:hint="eastAsia"/>
          <w:sz w:val="24"/>
        </w:rPr>
        <w:t>；</w:t>
      </w:r>
    </w:p>
    <w:p>
      <w:pPr>
        <w:spacing w:line="320" w:lineRule="exact"/>
        <w:ind w:firstLine="480" w:firstLineChars="200"/>
        <w:rPr>
          <w:sz w:val="24"/>
        </w:rPr>
      </w:pPr>
      <w:r>
        <w:rPr>
          <w:sz w:val="24"/>
        </w:rPr>
        <w:t>（</w:t>
      </w:r>
      <w:r>
        <w:rPr>
          <w:rFonts w:hint="eastAsia"/>
          <w:sz w:val="24"/>
        </w:rPr>
        <w:t>3</w:t>
      </w:r>
      <w:r>
        <w:rPr>
          <w:sz w:val="24"/>
        </w:rPr>
        <w:t>）列出投标</w:t>
      </w:r>
      <w:r>
        <w:rPr>
          <w:rFonts w:hint="eastAsia"/>
          <w:sz w:val="24"/>
        </w:rPr>
        <w:t>报价</w:t>
      </w:r>
      <w:r>
        <w:rPr>
          <w:sz w:val="24"/>
        </w:rPr>
        <w:t>过高或者过低的清单项目的序号、项目编码、项目名称、项目特征、工程</w:t>
      </w:r>
      <w:r>
        <w:rPr>
          <w:rFonts w:hint="eastAsia"/>
          <w:sz w:val="24"/>
        </w:rPr>
        <w:t>数</w:t>
      </w:r>
      <w:r>
        <w:rPr>
          <w:sz w:val="24"/>
        </w:rPr>
        <w:t>量、工程内容</w:t>
      </w:r>
      <w:r>
        <w:rPr>
          <w:rFonts w:hint="eastAsia"/>
          <w:sz w:val="24"/>
        </w:rPr>
        <w:t>；</w:t>
      </w:r>
    </w:p>
    <w:p>
      <w:pPr>
        <w:spacing w:line="320" w:lineRule="exact"/>
        <w:ind w:firstLine="480" w:firstLineChars="200"/>
        <w:rPr>
          <w:sz w:val="24"/>
        </w:rPr>
      </w:pPr>
      <w:r>
        <w:rPr>
          <w:sz w:val="24"/>
        </w:rPr>
        <w:t>（</w:t>
      </w:r>
      <w:r>
        <w:rPr>
          <w:rFonts w:hint="eastAsia"/>
          <w:sz w:val="24"/>
        </w:rPr>
        <w:t>4</w:t>
      </w:r>
      <w:r>
        <w:rPr>
          <w:sz w:val="24"/>
        </w:rPr>
        <w:t>）列出投标</w:t>
      </w:r>
      <w:r>
        <w:rPr>
          <w:rFonts w:hint="eastAsia"/>
          <w:sz w:val="24"/>
        </w:rPr>
        <w:t>报价</w:t>
      </w:r>
      <w:r>
        <w:rPr>
          <w:sz w:val="24"/>
        </w:rPr>
        <w:t>中错报漏报项目</w:t>
      </w:r>
      <w:r>
        <w:rPr>
          <w:rFonts w:hint="eastAsia"/>
          <w:sz w:val="24"/>
        </w:rPr>
        <w:t>；</w:t>
      </w:r>
    </w:p>
    <w:p>
      <w:pPr>
        <w:spacing w:line="320" w:lineRule="exact"/>
        <w:ind w:firstLine="480" w:firstLineChars="200"/>
        <w:rPr>
          <w:sz w:val="24"/>
        </w:rPr>
      </w:pPr>
      <w:r>
        <w:rPr>
          <w:sz w:val="24"/>
        </w:rPr>
        <w:t>（</w:t>
      </w:r>
      <w:r>
        <w:rPr>
          <w:rFonts w:hint="eastAsia"/>
          <w:sz w:val="24"/>
        </w:rPr>
        <w:t>5</w:t>
      </w:r>
      <w:r>
        <w:rPr>
          <w:sz w:val="24"/>
        </w:rPr>
        <w:t>）列出不平衡报价项目</w:t>
      </w:r>
      <w:r>
        <w:rPr>
          <w:rFonts w:hint="eastAsia"/>
          <w:sz w:val="24"/>
        </w:rPr>
        <w:t>；</w:t>
      </w:r>
    </w:p>
    <w:p>
      <w:pPr>
        <w:spacing w:line="320" w:lineRule="exact"/>
        <w:ind w:firstLine="480" w:firstLineChars="200"/>
        <w:rPr>
          <w:sz w:val="24"/>
        </w:rPr>
      </w:pPr>
      <w:r>
        <w:rPr>
          <w:sz w:val="24"/>
        </w:rPr>
        <w:t>（</w:t>
      </w:r>
      <w:r>
        <w:rPr>
          <w:rFonts w:hint="eastAsia"/>
          <w:sz w:val="24"/>
        </w:rPr>
        <w:t>6</w:t>
      </w:r>
      <w:r>
        <w:rPr>
          <w:sz w:val="24"/>
        </w:rPr>
        <w:t>）清标过程中发现的其他问题</w:t>
      </w:r>
      <w:r>
        <w:rPr>
          <w:rFonts w:hint="eastAsia"/>
          <w:sz w:val="24"/>
        </w:rPr>
        <w:t>；</w:t>
      </w:r>
    </w:p>
    <w:p>
      <w:pPr>
        <w:pStyle w:val="4"/>
        <w:spacing w:before="120" w:after="240" w:line="360" w:lineRule="exact"/>
        <w:rPr>
          <w:rFonts w:eastAsia="黑体"/>
          <w:b w:val="0"/>
          <w:sz w:val="28"/>
          <w:szCs w:val="28"/>
        </w:rPr>
      </w:pPr>
      <w:bookmarkStart w:id="161" w:name="_Toc269310951"/>
      <w:bookmarkStart w:id="162" w:name="_Toc312072262"/>
      <w:r>
        <w:rPr>
          <w:rFonts w:eastAsia="黑体"/>
          <w:b w:val="0"/>
          <w:sz w:val="28"/>
          <w:szCs w:val="28"/>
        </w:rPr>
        <w:t>6.</w:t>
      </w:r>
      <w:r>
        <w:rPr>
          <w:rFonts w:hint="eastAsia" w:eastAsia="黑体"/>
          <w:b w:val="0"/>
          <w:sz w:val="28"/>
          <w:szCs w:val="28"/>
        </w:rPr>
        <w:t>4</w:t>
      </w:r>
      <w:bookmarkEnd w:id="161"/>
      <w:r>
        <w:rPr>
          <w:rFonts w:hint="eastAsia" w:eastAsia="黑体"/>
          <w:b w:val="0"/>
          <w:sz w:val="28"/>
          <w:szCs w:val="28"/>
        </w:rPr>
        <w:t>初步评审</w:t>
      </w:r>
      <w:bookmarkEnd w:id="162"/>
    </w:p>
    <w:p>
      <w:pPr>
        <w:spacing w:line="320" w:lineRule="exact"/>
        <w:ind w:firstLine="480" w:firstLineChars="200"/>
        <w:rPr>
          <w:sz w:val="24"/>
        </w:rPr>
      </w:pPr>
      <w:r>
        <w:rPr>
          <w:rFonts w:hint="eastAsia"/>
          <w:sz w:val="24"/>
        </w:rPr>
        <w:t>6.4.1</w:t>
      </w:r>
      <w:r>
        <w:rPr>
          <w:sz w:val="24"/>
        </w:rPr>
        <w:t>评标委员会应根据清标报告</w:t>
      </w:r>
      <w:r>
        <w:rPr>
          <w:rFonts w:hint="eastAsia"/>
          <w:sz w:val="24"/>
        </w:rPr>
        <w:t>，</w:t>
      </w:r>
      <w:r>
        <w:rPr>
          <w:sz w:val="24"/>
        </w:rPr>
        <w:t>按照下列程序对投标文件进行初步评审：</w:t>
      </w:r>
    </w:p>
    <w:p>
      <w:pPr>
        <w:spacing w:line="320" w:lineRule="exact"/>
        <w:ind w:firstLine="480" w:firstLineChars="200"/>
        <w:rPr>
          <w:sz w:val="24"/>
        </w:rPr>
      </w:pPr>
      <w:r>
        <w:rPr>
          <w:sz w:val="24"/>
        </w:rPr>
        <w:t>（</w:t>
      </w:r>
      <w:r>
        <w:rPr>
          <w:rFonts w:hint="eastAsia"/>
          <w:sz w:val="24"/>
        </w:rPr>
        <w:t>1</w:t>
      </w:r>
      <w:r>
        <w:rPr>
          <w:sz w:val="24"/>
        </w:rPr>
        <w:t>）</w:t>
      </w:r>
      <w:r>
        <w:rPr>
          <w:rFonts w:hint="eastAsia"/>
          <w:sz w:val="24"/>
        </w:rPr>
        <w:t>形式评审，具体详见评分办法前附表；</w:t>
      </w:r>
    </w:p>
    <w:p>
      <w:pPr>
        <w:spacing w:line="320" w:lineRule="exact"/>
        <w:ind w:firstLine="480" w:firstLineChars="200"/>
        <w:rPr>
          <w:sz w:val="24"/>
        </w:rPr>
      </w:pPr>
      <w:r>
        <w:rPr>
          <w:sz w:val="24"/>
        </w:rPr>
        <w:t>（</w:t>
      </w:r>
      <w:r>
        <w:rPr>
          <w:rFonts w:hint="eastAsia"/>
          <w:sz w:val="24"/>
        </w:rPr>
        <w:t>2</w:t>
      </w:r>
      <w:r>
        <w:rPr>
          <w:sz w:val="24"/>
        </w:rPr>
        <w:t>）</w:t>
      </w:r>
      <w:r>
        <w:rPr>
          <w:rFonts w:hint="eastAsia"/>
          <w:sz w:val="24"/>
        </w:rPr>
        <w:t>资格评审，具体详见评分办法前附表；</w:t>
      </w:r>
    </w:p>
    <w:p>
      <w:pPr>
        <w:spacing w:line="320" w:lineRule="exact"/>
        <w:ind w:firstLine="480" w:firstLineChars="200"/>
        <w:rPr>
          <w:sz w:val="24"/>
        </w:rPr>
      </w:pPr>
      <w:r>
        <w:rPr>
          <w:sz w:val="24"/>
        </w:rPr>
        <w:t>（</w:t>
      </w:r>
      <w:r>
        <w:rPr>
          <w:rFonts w:hint="eastAsia"/>
          <w:sz w:val="24"/>
        </w:rPr>
        <w:t>3</w:t>
      </w:r>
      <w:r>
        <w:rPr>
          <w:sz w:val="24"/>
        </w:rPr>
        <w:t>）</w:t>
      </w:r>
      <w:r>
        <w:rPr>
          <w:rFonts w:hint="eastAsia"/>
          <w:sz w:val="24"/>
        </w:rPr>
        <w:t>响应性评审，具体详见评分办法前附表</w:t>
      </w:r>
      <w:r>
        <w:rPr>
          <w:sz w:val="24"/>
        </w:rPr>
        <w:t>；</w:t>
      </w:r>
    </w:p>
    <w:p>
      <w:pPr>
        <w:spacing w:line="320" w:lineRule="exact"/>
        <w:ind w:firstLine="480" w:firstLineChars="200"/>
        <w:rPr>
          <w:sz w:val="24"/>
        </w:rPr>
      </w:pPr>
      <w:r>
        <w:rPr>
          <w:sz w:val="24"/>
        </w:rPr>
        <w:t>（</w:t>
      </w:r>
      <w:r>
        <w:rPr>
          <w:rFonts w:hint="eastAsia"/>
          <w:sz w:val="24"/>
        </w:rPr>
        <w:t>4</w:t>
      </w:r>
      <w:r>
        <w:rPr>
          <w:sz w:val="24"/>
        </w:rPr>
        <w:t>）</w:t>
      </w:r>
      <w:r>
        <w:rPr>
          <w:rFonts w:hint="eastAsia"/>
          <w:sz w:val="24"/>
        </w:rPr>
        <w:t>判断其投标是否被否决</w:t>
      </w:r>
      <w:r>
        <w:rPr>
          <w:sz w:val="24"/>
        </w:rPr>
        <w:t>；</w:t>
      </w:r>
    </w:p>
    <w:p>
      <w:pPr>
        <w:spacing w:line="320" w:lineRule="exact"/>
        <w:ind w:firstLine="480" w:firstLineChars="200"/>
        <w:rPr>
          <w:sz w:val="24"/>
        </w:rPr>
      </w:pPr>
      <w:r>
        <w:rPr>
          <w:sz w:val="24"/>
        </w:rPr>
        <w:t>（</w:t>
      </w:r>
      <w:r>
        <w:rPr>
          <w:rFonts w:hint="eastAsia"/>
          <w:sz w:val="24"/>
        </w:rPr>
        <w:t>5</w:t>
      </w:r>
      <w:r>
        <w:rPr>
          <w:sz w:val="24"/>
        </w:rPr>
        <w:t>）</w:t>
      </w:r>
      <w:r>
        <w:rPr>
          <w:rFonts w:hint="eastAsia"/>
          <w:sz w:val="24"/>
        </w:rPr>
        <w:t>投标报价的修正</w:t>
      </w:r>
      <w:r>
        <w:rPr>
          <w:sz w:val="24"/>
        </w:rPr>
        <w:t>；</w:t>
      </w:r>
    </w:p>
    <w:p>
      <w:pPr>
        <w:spacing w:line="320" w:lineRule="exact"/>
        <w:ind w:firstLine="480" w:firstLineChars="200"/>
        <w:rPr>
          <w:sz w:val="24"/>
        </w:rPr>
      </w:pPr>
      <w:r>
        <w:rPr>
          <w:sz w:val="24"/>
        </w:rPr>
        <w:t>（</w:t>
      </w:r>
      <w:r>
        <w:rPr>
          <w:rFonts w:hint="eastAsia"/>
          <w:sz w:val="24"/>
        </w:rPr>
        <w:t>6</w:t>
      </w:r>
      <w:r>
        <w:rPr>
          <w:sz w:val="24"/>
        </w:rPr>
        <w:t>）投标文件的澄清、说明或补正</w:t>
      </w:r>
      <w:r>
        <w:rPr>
          <w:rFonts w:hint="eastAsia"/>
          <w:sz w:val="24"/>
        </w:rPr>
        <w:t>；</w:t>
      </w:r>
    </w:p>
    <w:p>
      <w:pPr>
        <w:spacing w:line="320" w:lineRule="exact"/>
        <w:ind w:firstLine="480" w:firstLineChars="200"/>
        <w:rPr>
          <w:sz w:val="24"/>
        </w:rPr>
      </w:pPr>
      <w:r>
        <w:rPr>
          <w:sz w:val="24"/>
        </w:rPr>
        <w:t>（</w:t>
      </w:r>
      <w:r>
        <w:rPr>
          <w:rFonts w:hint="eastAsia"/>
          <w:sz w:val="24"/>
        </w:rPr>
        <w:t>7</w:t>
      </w:r>
      <w:r>
        <w:rPr>
          <w:sz w:val="24"/>
        </w:rPr>
        <w:t>）汇总初步评审结果，确定进入详细评审阶段的投标人名单。</w:t>
      </w:r>
    </w:p>
    <w:p>
      <w:pPr>
        <w:spacing w:line="320" w:lineRule="exact"/>
        <w:ind w:firstLine="480" w:firstLineChars="200"/>
        <w:rPr>
          <w:sz w:val="24"/>
        </w:rPr>
      </w:pPr>
      <w:r>
        <w:rPr>
          <w:rFonts w:hint="eastAsia"/>
          <w:sz w:val="24"/>
        </w:rPr>
        <w:t>6.4.2判断其投标是否被否决</w:t>
      </w:r>
    </w:p>
    <w:p>
      <w:pPr>
        <w:spacing w:line="350" w:lineRule="exact"/>
        <w:ind w:firstLine="480" w:firstLineChars="200"/>
        <w:rPr>
          <w:sz w:val="24"/>
        </w:rPr>
      </w:pPr>
      <w:r>
        <w:rPr>
          <w:rFonts w:hint="eastAsia"/>
          <w:sz w:val="24"/>
        </w:rPr>
        <w:t>投标文件有下列情形之一的，评标委员会将否决其投标：</w:t>
      </w:r>
    </w:p>
    <w:p>
      <w:pPr>
        <w:spacing w:line="350" w:lineRule="exact"/>
        <w:ind w:firstLine="480" w:firstLineChars="200"/>
        <w:rPr>
          <w:sz w:val="24"/>
        </w:rPr>
      </w:pPr>
      <w:r>
        <w:rPr>
          <w:rFonts w:hint="eastAsia"/>
          <w:sz w:val="24"/>
        </w:rPr>
        <w:t>（1）有第二章“投标人须知”第1.4.3项规定的任何一种情形的</w:t>
      </w:r>
      <w:r>
        <w:rPr>
          <w:sz w:val="24"/>
        </w:rPr>
        <w:t>；</w:t>
      </w:r>
    </w:p>
    <w:p>
      <w:pPr>
        <w:spacing w:line="350" w:lineRule="exact"/>
        <w:ind w:firstLine="480" w:firstLineChars="200"/>
        <w:rPr>
          <w:sz w:val="24"/>
        </w:rPr>
      </w:pPr>
      <w:r>
        <w:rPr>
          <w:rFonts w:hint="eastAsia"/>
          <w:sz w:val="24"/>
        </w:rPr>
        <w:t>（2）有串通投标或弄虚作假或有其他违法行为的</w:t>
      </w:r>
      <w:r>
        <w:rPr>
          <w:sz w:val="24"/>
        </w:rPr>
        <w:t>；</w:t>
      </w:r>
    </w:p>
    <w:p>
      <w:pPr>
        <w:spacing w:line="350" w:lineRule="exact"/>
        <w:ind w:firstLine="480" w:firstLineChars="200"/>
        <w:rPr>
          <w:sz w:val="24"/>
        </w:rPr>
      </w:pPr>
      <w:r>
        <w:rPr>
          <w:rFonts w:hint="eastAsia"/>
          <w:sz w:val="24"/>
        </w:rPr>
        <w:t>（3）不按评标委员会要求澄清、说明或补正的</w:t>
      </w:r>
      <w:r>
        <w:rPr>
          <w:sz w:val="24"/>
        </w:rPr>
        <w:t>；</w:t>
      </w:r>
    </w:p>
    <w:p>
      <w:pPr>
        <w:spacing w:line="350" w:lineRule="exact"/>
        <w:ind w:firstLine="480" w:firstLineChars="200"/>
        <w:rPr>
          <w:sz w:val="24"/>
        </w:rPr>
      </w:pPr>
      <w:r>
        <w:rPr>
          <w:rFonts w:hint="eastAsia"/>
          <w:sz w:val="24"/>
        </w:rPr>
        <w:t>（4）在形式评审、资格评审、响应性评审中，评标委员会认定投标人的投标不符合评标办法前附表中规定的任何一项评审标准的</w:t>
      </w:r>
      <w:r>
        <w:rPr>
          <w:sz w:val="24"/>
        </w:rPr>
        <w:t>；</w:t>
      </w:r>
    </w:p>
    <w:p>
      <w:pPr>
        <w:spacing w:line="350" w:lineRule="exact"/>
        <w:ind w:firstLine="480" w:firstLineChars="200"/>
        <w:rPr>
          <w:sz w:val="24"/>
        </w:rPr>
      </w:pPr>
      <w:r>
        <w:rPr>
          <w:rFonts w:ascii="宋体" w:hAnsi="宋体" w:cs="宋体"/>
          <w:kern w:val="0"/>
          <w:sz w:val="24"/>
          <w:highlight w:val="yellow"/>
        </w:rPr>
        <w:t>5）</w:t>
      </w:r>
      <w:r>
        <w:rPr>
          <w:sz w:val="24"/>
          <w:highlight w:val="green"/>
        </w:rPr>
        <w:t>电子投标文件未按</w:t>
      </w:r>
      <w:r>
        <w:rPr>
          <w:rFonts w:hint="eastAsia"/>
          <w:sz w:val="24"/>
          <w:highlight w:val="green"/>
        </w:rPr>
        <w:t>招标文件要求在“投标文件格式”中封面规定的签章处加盖单位电子公章、法定代表人电子签名或盖章的</w:t>
      </w:r>
      <w:r>
        <w:rPr>
          <w:rFonts w:hint="eastAsia"/>
          <w:sz w:val="24"/>
        </w:rPr>
        <w:t>；</w:t>
      </w:r>
    </w:p>
    <w:p>
      <w:pPr>
        <w:spacing w:line="350" w:lineRule="exact"/>
        <w:ind w:firstLine="480" w:firstLineChars="200"/>
        <w:rPr>
          <w:color w:val="FF0000"/>
          <w:sz w:val="24"/>
        </w:rPr>
      </w:pPr>
      <w:r>
        <w:rPr>
          <w:rFonts w:hint="eastAsia"/>
          <w:sz w:val="24"/>
        </w:rPr>
        <w:t>（6）在</w:t>
      </w:r>
      <w:r>
        <w:rPr>
          <w:rFonts w:hint="eastAsia"/>
          <w:sz w:val="24"/>
          <w:highlight w:val="cyan"/>
        </w:rPr>
        <w:t>技术标施工组织设计和资信标评审中</w:t>
      </w:r>
      <w:r>
        <w:rPr>
          <w:rFonts w:hint="eastAsia"/>
          <w:sz w:val="24"/>
        </w:rPr>
        <w:t>，</w:t>
      </w:r>
      <w:r>
        <w:rPr>
          <w:rFonts w:hint="eastAsia"/>
          <w:color w:val="FF0000"/>
          <w:sz w:val="24"/>
        </w:rPr>
        <w:t>评标委员会认定投标人的投标未能通过此项评审的</w:t>
      </w:r>
      <w:r>
        <w:rPr>
          <w:color w:val="FF0000"/>
          <w:sz w:val="24"/>
        </w:rPr>
        <w:t>；</w:t>
      </w:r>
    </w:p>
    <w:p>
      <w:pPr>
        <w:spacing w:line="350" w:lineRule="exact"/>
        <w:ind w:firstLine="480" w:firstLineChars="200"/>
        <w:rPr>
          <w:sz w:val="24"/>
        </w:rPr>
      </w:pPr>
      <w:r>
        <w:rPr>
          <w:rFonts w:hint="eastAsia"/>
          <w:sz w:val="24"/>
        </w:rPr>
        <w:t>（7）评标委员会认定投标人以低于成本报价竞标的</w:t>
      </w:r>
      <w:r>
        <w:rPr>
          <w:sz w:val="24"/>
        </w:rPr>
        <w:t>；</w:t>
      </w:r>
    </w:p>
    <w:p>
      <w:pPr>
        <w:spacing w:line="350" w:lineRule="exact"/>
        <w:ind w:firstLine="480" w:firstLineChars="200"/>
        <w:rPr>
          <w:sz w:val="24"/>
        </w:rPr>
      </w:pPr>
      <w:r>
        <w:rPr>
          <w:rFonts w:hint="eastAsia"/>
          <w:sz w:val="24"/>
        </w:rPr>
        <w:t>（8）投标人未按规定通过不见面开标系统签到的</w:t>
      </w:r>
      <w:r>
        <w:rPr>
          <w:sz w:val="24"/>
        </w:rPr>
        <w:t>；</w:t>
      </w:r>
    </w:p>
    <w:p>
      <w:pPr>
        <w:spacing w:line="350" w:lineRule="exact"/>
        <w:ind w:firstLine="480" w:firstLineChars="200"/>
        <w:rPr>
          <w:sz w:val="24"/>
        </w:rPr>
      </w:pPr>
      <w:r>
        <w:rPr>
          <w:rFonts w:hint="eastAsia"/>
          <w:sz w:val="24"/>
        </w:rPr>
        <w:t>（9）</w:t>
      </w:r>
      <w:r>
        <w:rPr>
          <w:sz w:val="24"/>
        </w:rPr>
        <w:t>明显不符合招标文件规定的技术要求和标准</w:t>
      </w:r>
      <w:r>
        <w:rPr>
          <w:rFonts w:hint="eastAsia"/>
          <w:sz w:val="24"/>
        </w:rPr>
        <w:t>的</w:t>
      </w:r>
      <w:r>
        <w:rPr>
          <w:sz w:val="24"/>
        </w:rPr>
        <w:t>；</w:t>
      </w:r>
    </w:p>
    <w:p>
      <w:pPr>
        <w:spacing w:line="350" w:lineRule="exact"/>
        <w:ind w:firstLine="480" w:firstLineChars="200"/>
        <w:rPr>
          <w:sz w:val="24"/>
        </w:rPr>
      </w:pPr>
      <w:r>
        <w:rPr>
          <w:rFonts w:hint="eastAsia"/>
          <w:sz w:val="24"/>
        </w:rPr>
        <w:t>（10）投标文件出现招标人名称、项目名称、技术参数等与招标文件相关内容严重不一致的；</w:t>
      </w:r>
    </w:p>
    <w:p>
      <w:pPr>
        <w:spacing w:line="350" w:lineRule="exact"/>
        <w:ind w:firstLine="480" w:firstLineChars="200"/>
        <w:rPr>
          <w:sz w:val="24"/>
        </w:rPr>
      </w:pPr>
      <w:r>
        <w:rPr>
          <w:rFonts w:hint="eastAsia"/>
          <w:sz w:val="24"/>
        </w:rPr>
        <w:t>（11）</w:t>
      </w:r>
      <w:r>
        <w:rPr>
          <w:sz w:val="24"/>
        </w:rPr>
        <w:t>在同一投标文件中对同一招标项目报有两个或多个报价</w:t>
      </w:r>
      <w:r>
        <w:rPr>
          <w:rFonts w:hint="eastAsia"/>
          <w:sz w:val="24"/>
        </w:rPr>
        <w:t>，</w:t>
      </w:r>
      <w:r>
        <w:rPr>
          <w:sz w:val="24"/>
        </w:rPr>
        <w:t>且未声明哪个有效</w:t>
      </w:r>
      <w:r>
        <w:rPr>
          <w:rFonts w:hint="eastAsia"/>
          <w:sz w:val="24"/>
        </w:rPr>
        <w:t>的</w:t>
      </w:r>
      <w:r>
        <w:rPr>
          <w:sz w:val="24"/>
        </w:rPr>
        <w:t>；</w:t>
      </w:r>
    </w:p>
    <w:p>
      <w:pPr>
        <w:spacing w:line="350" w:lineRule="exact"/>
        <w:ind w:firstLine="480" w:firstLineChars="200"/>
        <w:rPr>
          <w:sz w:val="24"/>
          <w:highlight w:val="cyan"/>
        </w:rPr>
      </w:pPr>
      <w:r>
        <w:rPr>
          <w:rFonts w:hint="eastAsia"/>
          <w:sz w:val="24"/>
          <w:highlight w:val="cyan"/>
        </w:rPr>
        <w:t>（12）投标文件提出了不能满足招标文件要求或者招标人不能接受的工程验收、计量、价款结算和支付办法的；</w:t>
      </w:r>
    </w:p>
    <w:p>
      <w:pPr>
        <w:spacing w:line="350" w:lineRule="exact"/>
        <w:ind w:firstLine="480" w:firstLineChars="200"/>
        <w:rPr>
          <w:color w:val="FF0000"/>
          <w:sz w:val="24"/>
          <w:highlight w:val="cyan"/>
        </w:rPr>
      </w:pPr>
      <w:r>
        <w:rPr>
          <w:rFonts w:hint="eastAsia"/>
          <w:color w:val="FF0000"/>
          <w:sz w:val="24"/>
          <w:highlight w:val="cyan"/>
        </w:rPr>
        <w:t>（13）投标人技术标不能满足工程施工需要；</w:t>
      </w:r>
    </w:p>
    <w:p>
      <w:pPr>
        <w:spacing w:line="350" w:lineRule="exact"/>
        <w:ind w:firstLine="480" w:firstLineChars="200"/>
        <w:rPr>
          <w:sz w:val="24"/>
        </w:rPr>
      </w:pPr>
      <w:r>
        <w:rPr>
          <w:rFonts w:hint="eastAsia"/>
          <w:sz w:val="24"/>
          <w:highlight w:val="cyan"/>
        </w:rPr>
        <w:t>（14）投标人项目管理班子配备不符合招标文件要求的最低标准的；</w:t>
      </w:r>
    </w:p>
    <w:p>
      <w:pPr>
        <w:spacing w:line="350" w:lineRule="exact"/>
        <w:ind w:firstLine="480" w:firstLineChars="200"/>
        <w:rPr>
          <w:sz w:val="24"/>
        </w:rPr>
      </w:pPr>
      <w:r>
        <w:rPr>
          <w:rFonts w:hint="eastAsia"/>
          <w:sz w:val="24"/>
        </w:rPr>
        <w:t>（15）不符合招标文件中规定的其他实质性要求的。</w:t>
      </w:r>
    </w:p>
    <w:p>
      <w:pPr>
        <w:spacing w:line="330" w:lineRule="exact"/>
        <w:ind w:firstLine="480" w:firstLineChars="200"/>
        <w:rPr>
          <w:sz w:val="24"/>
        </w:rPr>
      </w:pPr>
      <w:r>
        <w:rPr>
          <w:rFonts w:hint="eastAsia"/>
          <w:sz w:val="24"/>
        </w:rPr>
        <w:t>6.4.3 有下列情形之一的</w:t>
      </w:r>
      <w:r>
        <w:rPr>
          <w:sz w:val="24"/>
        </w:rPr>
        <w:t>，</w:t>
      </w:r>
      <w:r>
        <w:rPr>
          <w:rFonts w:hint="eastAsia"/>
          <w:sz w:val="24"/>
        </w:rPr>
        <w:t>视为</w:t>
      </w:r>
      <w:r>
        <w:rPr>
          <w:sz w:val="24"/>
        </w:rPr>
        <w:t>串通投标，</w:t>
      </w:r>
      <w:r>
        <w:rPr>
          <w:rFonts w:hint="eastAsia"/>
          <w:sz w:val="24"/>
        </w:rPr>
        <w:t>评标委员会将否决其投标</w:t>
      </w:r>
      <w:r>
        <w:rPr>
          <w:sz w:val="24"/>
        </w:rPr>
        <w:t>：</w:t>
      </w:r>
    </w:p>
    <w:p>
      <w:pPr>
        <w:spacing w:line="350" w:lineRule="exact"/>
        <w:ind w:firstLine="480" w:firstLineChars="200"/>
        <w:rPr>
          <w:sz w:val="24"/>
        </w:rPr>
      </w:pPr>
      <w:r>
        <w:rPr>
          <w:rFonts w:hint="eastAsia"/>
          <w:sz w:val="24"/>
        </w:rPr>
        <w:t>（1）不同投标人的投标文件由同一单位或者个人编制；</w:t>
      </w:r>
    </w:p>
    <w:p>
      <w:pPr>
        <w:spacing w:line="350" w:lineRule="exact"/>
        <w:ind w:firstLine="480" w:firstLineChars="200"/>
        <w:rPr>
          <w:sz w:val="24"/>
        </w:rPr>
      </w:pPr>
      <w:r>
        <w:rPr>
          <w:rFonts w:hint="eastAsia"/>
          <w:sz w:val="24"/>
        </w:rPr>
        <w:t>（2）不同投标人委托同一单位或者个人办理投标事宜；</w:t>
      </w:r>
    </w:p>
    <w:p>
      <w:pPr>
        <w:spacing w:line="350" w:lineRule="exact"/>
        <w:ind w:firstLine="480" w:firstLineChars="200"/>
        <w:rPr>
          <w:sz w:val="24"/>
        </w:rPr>
      </w:pPr>
      <w:r>
        <w:rPr>
          <w:rFonts w:hint="eastAsia"/>
          <w:sz w:val="24"/>
        </w:rPr>
        <w:t>（3）不同投标人的投标文件载明的项目管理成员为同一人；</w:t>
      </w:r>
    </w:p>
    <w:p>
      <w:pPr>
        <w:spacing w:line="350" w:lineRule="exact"/>
        <w:ind w:firstLine="480" w:firstLineChars="200"/>
        <w:rPr>
          <w:sz w:val="24"/>
        </w:rPr>
      </w:pPr>
      <w:r>
        <w:rPr>
          <w:rFonts w:hint="eastAsia"/>
          <w:sz w:val="24"/>
        </w:rPr>
        <w:t>（4）不同投标人的投标文件异常一致或者投标报价呈规律性差异；</w:t>
      </w:r>
    </w:p>
    <w:p>
      <w:pPr>
        <w:spacing w:line="350" w:lineRule="exact"/>
        <w:ind w:firstLine="480" w:firstLineChars="200"/>
        <w:rPr>
          <w:sz w:val="24"/>
        </w:rPr>
      </w:pPr>
      <w:r>
        <w:rPr>
          <w:rFonts w:hint="eastAsia"/>
          <w:sz w:val="24"/>
        </w:rPr>
        <w:t>（5）不同投标人的投标文件相互混装；</w:t>
      </w:r>
    </w:p>
    <w:p>
      <w:pPr>
        <w:spacing w:line="350" w:lineRule="exact"/>
        <w:ind w:firstLine="480" w:firstLineChars="200"/>
        <w:rPr>
          <w:sz w:val="24"/>
        </w:rPr>
      </w:pPr>
      <w:r>
        <w:rPr>
          <w:rFonts w:hint="eastAsia"/>
          <w:sz w:val="24"/>
        </w:rPr>
        <w:t>（6）不同投标人的投标保证金从同一单位或者个人的账户转出；</w:t>
      </w:r>
    </w:p>
    <w:p>
      <w:pPr>
        <w:spacing w:line="350" w:lineRule="exact"/>
        <w:ind w:firstLine="480" w:firstLineChars="200"/>
        <w:rPr>
          <w:sz w:val="24"/>
        </w:rPr>
      </w:pPr>
      <w:r>
        <w:rPr>
          <w:rFonts w:hint="eastAsia"/>
          <w:sz w:val="24"/>
          <w:highlight w:val="cyan"/>
        </w:rPr>
        <w:t>（7）不同投标人的投标文件由同一台电脑或同一电子签名认证证书编制或上传的；</w:t>
      </w:r>
    </w:p>
    <w:p>
      <w:pPr>
        <w:spacing w:line="350" w:lineRule="exact"/>
        <w:ind w:firstLine="480" w:firstLineChars="200"/>
        <w:rPr>
          <w:sz w:val="24"/>
        </w:rPr>
      </w:pPr>
      <w:r>
        <w:rPr>
          <w:rFonts w:hint="eastAsia"/>
          <w:sz w:val="24"/>
        </w:rPr>
        <w:t>（8）法律法规文件规定的其他情形。</w:t>
      </w:r>
    </w:p>
    <w:p>
      <w:pPr>
        <w:spacing w:line="350" w:lineRule="exact"/>
        <w:ind w:firstLine="480" w:firstLineChars="200"/>
        <w:rPr>
          <w:sz w:val="24"/>
        </w:rPr>
      </w:pPr>
      <w:r>
        <w:rPr>
          <w:rFonts w:hint="eastAsia"/>
          <w:sz w:val="24"/>
        </w:rPr>
        <w:t>6.4.4 投标报价的修正</w:t>
      </w:r>
    </w:p>
    <w:p>
      <w:pPr>
        <w:spacing w:line="350" w:lineRule="exact"/>
        <w:ind w:firstLine="480" w:firstLineChars="200"/>
        <w:rPr>
          <w:sz w:val="24"/>
        </w:rPr>
      </w:pPr>
      <w:r>
        <w:rPr>
          <w:rFonts w:hint="eastAsia"/>
          <w:sz w:val="24"/>
        </w:rPr>
        <w:t>投标报价有计算错误的，评标委员会按以下原则对投标报价进行修正，修正的价格经投标人书面确认后具有约束力。其具体内容为：</w:t>
      </w:r>
    </w:p>
    <w:p>
      <w:pPr>
        <w:spacing w:line="350" w:lineRule="exact"/>
        <w:ind w:firstLine="480" w:firstLineChars="200"/>
        <w:rPr>
          <w:sz w:val="24"/>
        </w:rPr>
      </w:pPr>
      <w:r>
        <w:rPr>
          <w:rFonts w:hint="eastAsia"/>
          <w:sz w:val="24"/>
        </w:rPr>
        <w:t>（1）</w:t>
      </w:r>
      <w:r>
        <w:rPr>
          <w:sz w:val="24"/>
        </w:rPr>
        <w:t>投标文件中大写金额和小写金额不一致的，以大写金额为准；</w:t>
      </w:r>
    </w:p>
    <w:p>
      <w:pPr>
        <w:spacing w:line="350" w:lineRule="exact"/>
        <w:ind w:firstLine="480" w:firstLineChars="200"/>
        <w:rPr>
          <w:sz w:val="24"/>
        </w:rPr>
      </w:pPr>
      <w:r>
        <w:rPr>
          <w:rFonts w:hint="eastAsia"/>
          <w:sz w:val="24"/>
        </w:rPr>
        <w:t>（2）投标文件中填报的投标报价、投标工期、工程质量标准前后不一致时，以投标函填报的为准。</w:t>
      </w:r>
    </w:p>
    <w:p>
      <w:pPr>
        <w:spacing w:line="350" w:lineRule="exact"/>
        <w:ind w:firstLine="480" w:firstLineChars="200"/>
        <w:rPr>
          <w:sz w:val="24"/>
          <w:highlight w:val="cyan"/>
        </w:rPr>
      </w:pPr>
      <w:r>
        <w:rPr>
          <w:rFonts w:hint="eastAsia"/>
          <w:sz w:val="24"/>
        </w:rPr>
        <w:t>（3）若投标文件出现偏差，投标人应按上述修正原则进行修正，</w:t>
      </w:r>
      <w:r>
        <w:rPr>
          <w:rFonts w:hint="eastAsia"/>
          <w:sz w:val="24"/>
          <w:highlight w:val="cyan"/>
        </w:rPr>
        <w:t>当事投标人通过系统回复确认。</w:t>
      </w:r>
    </w:p>
    <w:p>
      <w:pPr>
        <w:spacing w:line="350" w:lineRule="exact"/>
        <w:ind w:firstLine="480" w:firstLineChars="200"/>
        <w:rPr>
          <w:sz w:val="24"/>
        </w:rPr>
      </w:pPr>
      <w:r>
        <w:rPr>
          <w:rFonts w:hint="eastAsia"/>
          <w:sz w:val="24"/>
        </w:rPr>
        <w:t>投标人的投标报价和已标价工程量清单存在算术性计算错误的，评标委员会将否决其投标。</w:t>
      </w:r>
    </w:p>
    <w:p>
      <w:pPr>
        <w:spacing w:line="350" w:lineRule="exact"/>
        <w:ind w:firstLine="480" w:firstLineChars="200"/>
        <w:rPr>
          <w:sz w:val="24"/>
        </w:rPr>
      </w:pPr>
      <w:r>
        <w:rPr>
          <w:rFonts w:hint="eastAsia"/>
          <w:sz w:val="24"/>
        </w:rPr>
        <w:t>6.4.5 投标文件的澄清、说明或补正</w:t>
      </w:r>
    </w:p>
    <w:p>
      <w:pPr>
        <w:spacing w:line="330" w:lineRule="exact"/>
        <w:ind w:firstLine="480" w:firstLineChars="200"/>
        <w:rPr>
          <w:sz w:val="24"/>
        </w:rPr>
      </w:pPr>
      <w:r>
        <w:rPr>
          <w:rFonts w:hint="eastAsia"/>
          <w:sz w:val="24"/>
        </w:rPr>
        <w:t>（1） 在评标过程中，评标委员会可以书面形式要求投标人对所提交投标文件中不明确的内容进行书面澄清或说明，或者对细微偏差进行补正。评标委员会不接受投标人主动提出的澄清、说明或补正。</w:t>
      </w:r>
    </w:p>
    <w:p>
      <w:pPr>
        <w:spacing w:line="330" w:lineRule="exact"/>
        <w:ind w:firstLine="480" w:firstLineChars="200"/>
        <w:rPr>
          <w:color w:val="FF0000"/>
          <w:sz w:val="24"/>
        </w:rPr>
      </w:pPr>
      <w:r>
        <w:rPr>
          <w:rFonts w:hint="eastAsia"/>
          <w:color w:val="FF0000"/>
          <w:sz w:val="24"/>
        </w:rPr>
        <w:t>（2） 澄清、说明或补正不得改变投标文件的实质性内容。投标人的书面澄清、说明和补正属于投标文件的组成部分。</w:t>
      </w:r>
    </w:p>
    <w:p>
      <w:pPr>
        <w:spacing w:line="330" w:lineRule="exact"/>
        <w:ind w:firstLine="480" w:firstLineChars="200"/>
        <w:rPr>
          <w:sz w:val="24"/>
        </w:rPr>
      </w:pPr>
      <w:r>
        <w:rPr>
          <w:rFonts w:hint="eastAsia"/>
          <w:sz w:val="24"/>
        </w:rPr>
        <w:t>（3） 评标委员会对投标人提交的澄清、说明或补正有疑问的，可以要求投标人进一步澄清、说明或补正，直至满足评标委员会的要求。</w:t>
      </w:r>
    </w:p>
    <w:p>
      <w:pPr>
        <w:spacing w:line="330" w:lineRule="exact"/>
        <w:ind w:firstLine="482" w:firstLineChars="200"/>
        <w:rPr>
          <w:sz w:val="24"/>
        </w:rPr>
      </w:pPr>
      <w:r>
        <w:rPr>
          <w:rFonts w:hint="eastAsia"/>
          <w:b/>
          <w:sz w:val="24"/>
          <w:u w:val="single"/>
        </w:rPr>
        <w:t>（4）在评标过程中，评标委员会发现投标人的报价可能低于其个别成本的，应当要求该投标人作出书面说明并提供相关证明材料。投标人不能合理说明或者不能提供相关证明材料的，由评标委员会认定该投标人以低于成本报价竞标，应当否决其投标。</w:t>
      </w:r>
      <w:r>
        <w:rPr>
          <w:b/>
          <w:sz w:val="24"/>
          <w:u w:val="single"/>
        </w:rPr>
        <w:t> </w:t>
      </w:r>
      <w:r>
        <w:rPr>
          <w:rFonts w:hint="eastAsia"/>
          <w:b/>
          <w:sz w:val="24"/>
          <w:u w:val="single"/>
        </w:rPr>
        <w:t>评标委员会依据相关法律、法规和本办法及招标文件的规定，对投标报价是否低于成本进行认定。评标委员会认定意见不一致时，采用投票表决方式认定。</w:t>
      </w:r>
    </w:p>
    <w:p>
      <w:pPr>
        <w:spacing w:line="330" w:lineRule="exact"/>
        <w:ind w:firstLine="480" w:firstLineChars="200"/>
        <w:rPr>
          <w:sz w:val="24"/>
        </w:rPr>
      </w:pPr>
      <w:r>
        <w:rPr>
          <w:rFonts w:hint="eastAsia"/>
          <w:sz w:val="24"/>
        </w:rPr>
        <w:t>（5） 不按评标委员会要求澄清、说明或补正的，评标委员会将否决其投标。</w:t>
      </w:r>
    </w:p>
    <w:p>
      <w:pPr>
        <w:spacing w:line="330" w:lineRule="exact"/>
        <w:ind w:firstLine="480" w:firstLineChars="200"/>
        <w:rPr>
          <w:sz w:val="24"/>
        </w:rPr>
      </w:pPr>
      <w:r>
        <w:rPr>
          <w:rFonts w:hint="eastAsia"/>
          <w:sz w:val="24"/>
        </w:rPr>
        <w:t xml:space="preserve">6.4.6 </w:t>
      </w:r>
      <w:r>
        <w:rPr>
          <w:sz w:val="24"/>
        </w:rPr>
        <w:t>经初步评审，评标委员会认定</w:t>
      </w:r>
      <w:r>
        <w:rPr>
          <w:rFonts w:hint="eastAsia"/>
          <w:sz w:val="24"/>
        </w:rPr>
        <w:t>投标人的投标</w:t>
      </w:r>
      <w:r>
        <w:rPr>
          <w:sz w:val="24"/>
        </w:rPr>
        <w:t>不合格、被否决、认定为废标的投标不再进入详细评审阶段。</w:t>
      </w:r>
    </w:p>
    <w:p>
      <w:pPr>
        <w:pStyle w:val="4"/>
        <w:spacing w:before="120" w:after="240" w:line="360" w:lineRule="exact"/>
        <w:rPr>
          <w:rFonts w:eastAsia="黑体"/>
          <w:b w:val="0"/>
          <w:sz w:val="28"/>
          <w:szCs w:val="28"/>
        </w:rPr>
      </w:pPr>
      <w:bookmarkStart w:id="163" w:name="_Toc312072263"/>
      <w:r>
        <w:rPr>
          <w:rFonts w:eastAsia="黑体"/>
          <w:b w:val="0"/>
          <w:sz w:val="28"/>
          <w:szCs w:val="28"/>
        </w:rPr>
        <w:t>6.</w:t>
      </w:r>
      <w:r>
        <w:rPr>
          <w:rFonts w:hint="eastAsia" w:eastAsia="黑体"/>
          <w:b w:val="0"/>
          <w:sz w:val="28"/>
          <w:szCs w:val="28"/>
        </w:rPr>
        <w:t>5详细评审</w:t>
      </w:r>
      <w:bookmarkEnd w:id="163"/>
    </w:p>
    <w:p>
      <w:pPr>
        <w:spacing w:line="330" w:lineRule="exact"/>
        <w:ind w:firstLine="480" w:firstLineChars="200"/>
        <w:rPr>
          <w:sz w:val="24"/>
        </w:rPr>
      </w:pPr>
      <w:r>
        <w:rPr>
          <w:rFonts w:hint="eastAsia"/>
          <w:sz w:val="24"/>
        </w:rPr>
        <w:t>6.5.1只有通过了初步评审、被判定为合格的投标人方可进入详细评审。</w:t>
      </w:r>
      <w:r>
        <w:rPr>
          <w:rFonts w:hint="eastAsia"/>
          <w:b/>
          <w:color w:val="FF0000"/>
          <w:sz w:val="24"/>
        </w:rPr>
        <w:t>评标委员会按照评标办法进行详细评审，</w:t>
      </w:r>
      <w:r>
        <w:rPr>
          <w:rFonts w:hint="eastAsia"/>
          <w:sz w:val="24"/>
        </w:rPr>
        <w:t>本次</w:t>
      </w:r>
      <w:r>
        <w:rPr>
          <w:rFonts w:hint="eastAsia"/>
          <w:sz w:val="24"/>
          <w:highlight w:val="cyan"/>
        </w:rPr>
        <w:t>采用合理低价法评标</w:t>
      </w:r>
      <w:r>
        <w:rPr>
          <w:rFonts w:hint="eastAsia"/>
          <w:sz w:val="24"/>
        </w:rPr>
        <w:t>，详细评审的程序：</w:t>
      </w:r>
    </w:p>
    <w:p>
      <w:pPr>
        <w:spacing w:line="350" w:lineRule="exact"/>
        <w:ind w:firstLine="480" w:firstLineChars="200"/>
        <w:rPr>
          <w:sz w:val="24"/>
          <w:highlight w:val="cyan"/>
        </w:rPr>
      </w:pPr>
      <w:r>
        <w:rPr>
          <w:rFonts w:hint="eastAsia"/>
          <w:sz w:val="24"/>
          <w:highlight w:val="cyan"/>
        </w:rPr>
        <w:t xml:space="preserve">（1）技术标评审； </w:t>
      </w:r>
    </w:p>
    <w:p>
      <w:pPr>
        <w:spacing w:line="350" w:lineRule="exact"/>
        <w:ind w:firstLine="480" w:firstLineChars="200"/>
        <w:rPr>
          <w:sz w:val="24"/>
        </w:rPr>
      </w:pPr>
      <w:r>
        <w:rPr>
          <w:rFonts w:hint="eastAsia"/>
          <w:sz w:val="24"/>
          <w:highlight w:val="cyan"/>
        </w:rPr>
        <w:t>（2）商务标评审（须已通过技术标评审）</w:t>
      </w:r>
      <w:r>
        <w:rPr>
          <w:rFonts w:hint="eastAsia"/>
          <w:sz w:val="24"/>
        </w:rPr>
        <w:t>。</w:t>
      </w:r>
    </w:p>
    <w:p>
      <w:pPr>
        <w:spacing w:line="320" w:lineRule="exact"/>
        <w:ind w:firstLine="480" w:firstLineChars="200"/>
        <w:rPr>
          <w:sz w:val="24"/>
        </w:rPr>
      </w:pPr>
      <w:r>
        <w:rPr>
          <w:rFonts w:hint="eastAsia"/>
          <w:sz w:val="24"/>
        </w:rPr>
        <w:t>6.5.2在详细评审过程中，评标委员会应当就投标文件中不明确的内容要求投标人进行澄清、说明或者补正。投标人对此以书面形式予以澄清、说明或者补正。不按评标委员会要求澄清、说明或补正的，评标委员会将否决其投标。</w:t>
      </w:r>
    </w:p>
    <w:p>
      <w:pPr>
        <w:ind w:firstLine="480" w:firstLineChars="200"/>
        <w:rPr>
          <w:sz w:val="24"/>
        </w:rPr>
      </w:pPr>
      <w:r>
        <w:rPr>
          <w:rFonts w:hint="eastAsia"/>
          <w:sz w:val="24"/>
        </w:rPr>
        <w:t>6.5.3评标委员会在评标过程中发现的问题，应当及时作出处理并作书面记录。</w:t>
      </w:r>
    </w:p>
    <w:p>
      <w:pPr>
        <w:pStyle w:val="66"/>
        <w:spacing w:before="120" w:after="240" w:line="360" w:lineRule="exact"/>
        <w:rPr>
          <w:rFonts w:cs="Times New Roman"/>
          <w:sz w:val="30"/>
          <w:szCs w:val="30"/>
        </w:rPr>
      </w:pPr>
      <w:bookmarkStart w:id="164" w:name="_Toc269310953"/>
      <w:bookmarkStart w:id="165" w:name="_Toc144974533"/>
      <w:bookmarkStart w:id="166" w:name="_Toc152045565"/>
      <w:bookmarkStart w:id="167" w:name="_Toc312072264"/>
      <w:bookmarkStart w:id="168" w:name="_Toc152042341"/>
      <w:r>
        <w:rPr>
          <w:rFonts w:cs="Times New Roman"/>
          <w:sz w:val="30"/>
          <w:szCs w:val="30"/>
        </w:rPr>
        <w:t>7.定标</w:t>
      </w:r>
      <w:bookmarkEnd w:id="164"/>
      <w:bookmarkEnd w:id="165"/>
      <w:bookmarkEnd w:id="166"/>
      <w:bookmarkEnd w:id="167"/>
      <w:bookmarkEnd w:id="168"/>
    </w:p>
    <w:p>
      <w:pPr>
        <w:pStyle w:val="4"/>
        <w:spacing w:before="120" w:after="240" w:line="360" w:lineRule="exact"/>
        <w:rPr>
          <w:rFonts w:eastAsia="黑体"/>
          <w:b w:val="0"/>
          <w:sz w:val="28"/>
          <w:szCs w:val="28"/>
          <w:highlight w:val="cyan"/>
        </w:rPr>
      </w:pPr>
      <w:bookmarkStart w:id="169" w:name="_Toc312072265"/>
      <w:r>
        <w:rPr>
          <w:rFonts w:hint="eastAsia" w:eastAsia="黑体"/>
          <w:b w:val="0"/>
          <w:sz w:val="28"/>
          <w:szCs w:val="28"/>
          <w:highlight w:val="cyan"/>
        </w:rPr>
        <w:t>7.1定标方式</w:t>
      </w:r>
      <w:bookmarkEnd w:id="169"/>
    </w:p>
    <w:p>
      <w:pPr>
        <w:ind w:firstLine="480"/>
        <w:rPr>
          <w:sz w:val="24"/>
          <w:highlight w:val="cyan"/>
        </w:rPr>
      </w:pPr>
      <w:r>
        <w:rPr>
          <w:rFonts w:hint="eastAsia"/>
          <w:sz w:val="24"/>
          <w:highlight w:val="cyan"/>
        </w:rPr>
        <w:t>7.1.1采用合理低价法评标，评标委员会应当通过初步评审、详细评审，按照投标报价在合理范围内偏离评标基准价由小到大的次序向招标人推荐中标候选人。</w:t>
      </w:r>
    </w:p>
    <w:p>
      <w:pPr>
        <w:ind w:firstLine="480"/>
        <w:rPr>
          <w:sz w:val="24"/>
        </w:rPr>
      </w:pPr>
      <w:r>
        <w:rPr>
          <w:rFonts w:hint="eastAsia"/>
          <w:sz w:val="24"/>
          <w:highlight w:val="cyan"/>
        </w:rPr>
        <w:t>7.1.2如2个及以上投标人的投标报价偏离值相同时，招标人可以按照《山东省房屋建筑和市政工程施工招标评标办法》（鲁建发〔2014〕5号）中定标办法的“直接票决定标”法确定中标人，即按照对所有进入定标程序的中标候选人进行投票，得票最多的中标候选人即为中标人。</w:t>
      </w:r>
    </w:p>
    <w:p>
      <w:pPr>
        <w:spacing w:line="320" w:lineRule="exact"/>
        <w:ind w:firstLine="480" w:firstLineChars="200"/>
        <w:rPr>
          <w:sz w:val="24"/>
        </w:rPr>
      </w:pPr>
      <w:r>
        <w:rPr>
          <w:color w:val="FF0000"/>
          <w:sz w:val="24"/>
        </w:rPr>
        <w:t>7.1.3</w:t>
      </w:r>
      <w:r>
        <w:rPr>
          <w:rFonts w:hint="eastAsia"/>
          <w:sz w:val="24"/>
        </w:rPr>
        <w:t>评标委员会依据评标方法及评标细则，对投标文件进行评审和比较，向招标人提出书面评标报告，</w:t>
      </w:r>
      <w:r>
        <w:rPr>
          <w:rFonts w:hint="eastAsia"/>
          <w:sz w:val="24"/>
          <w:highlight w:val="cyan"/>
        </w:rPr>
        <w:t>并按投标报价在合理范围内偏离评标基准价由小到大的次序，推荐</w:t>
      </w:r>
      <w:r>
        <w:rPr>
          <w:sz w:val="24"/>
          <w:highlight w:val="cyan"/>
        </w:rPr>
        <w:t>3</w:t>
      </w:r>
      <w:r>
        <w:rPr>
          <w:rFonts w:hint="eastAsia"/>
          <w:sz w:val="24"/>
          <w:highlight w:val="cyan"/>
        </w:rPr>
        <w:t>名合格的中标候选人。</w:t>
      </w:r>
      <w:r>
        <w:rPr>
          <w:rFonts w:hint="eastAsia"/>
          <w:sz w:val="24"/>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color w:val="FF0000"/>
          <w:sz w:val="24"/>
        </w:rPr>
        <w:t>（适用于只有</w:t>
      </w:r>
      <w:r>
        <w:rPr>
          <w:color w:val="FF0000"/>
          <w:sz w:val="24"/>
        </w:rPr>
        <w:t>1</w:t>
      </w:r>
      <w:r>
        <w:rPr>
          <w:rFonts w:hint="eastAsia"/>
          <w:color w:val="FF0000"/>
          <w:sz w:val="24"/>
        </w:rPr>
        <w:t>个标段的项目）</w:t>
      </w:r>
    </w:p>
    <w:p>
      <w:pPr>
        <w:spacing w:line="320" w:lineRule="exact"/>
        <w:ind w:firstLine="480" w:firstLineChars="200"/>
        <w:rPr>
          <w:sz w:val="24"/>
        </w:rPr>
      </w:pPr>
      <w:r>
        <w:rPr>
          <w:color w:val="FF0000"/>
          <w:sz w:val="24"/>
        </w:rPr>
        <w:t>7.1.3</w:t>
      </w:r>
      <w:r>
        <w:rPr>
          <w:rFonts w:hint="eastAsia"/>
          <w:sz w:val="24"/>
        </w:rPr>
        <w:t>评标委员会依据评标方法及评标细则，对投标文件进行评审和比较，向招标人提出书面评标报告，</w:t>
      </w:r>
      <w:r>
        <w:rPr>
          <w:rFonts w:hint="eastAsia"/>
          <w:sz w:val="24"/>
          <w:highlight w:val="cyan"/>
        </w:rPr>
        <w:t>并按投标报价在合理范围内偏离评标基准价由小到大的次序</w:t>
      </w:r>
      <w:r>
        <w:rPr>
          <w:rFonts w:hint="eastAsia"/>
          <w:sz w:val="24"/>
        </w:rPr>
        <w:t>，各标段分别推荐</w:t>
      </w:r>
      <w:r>
        <w:rPr>
          <w:sz w:val="24"/>
        </w:rPr>
        <w:t>3</w:t>
      </w:r>
      <w:r>
        <w:rPr>
          <w:rFonts w:hint="eastAsia"/>
          <w:sz w:val="24"/>
        </w:rPr>
        <w:t>名合格的中标候选人。</w:t>
      </w:r>
    </w:p>
    <w:p>
      <w:pPr>
        <w:spacing w:line="320" w:lineRule="exact"/>
        <w:ind w:firstLine="480" w:firstLineChars="200"/>
        <w:rPr>
          <w:sz w:val="24"/>
        </w:rPr>
      </w:pPr>
      <w:r>
        <w:rPr>
          <w:rFonts w:hint="eastAsia"/>
          <w:sz w:val="24"/>
        </w:rPr>
        <w:t>本工程分为个标段，每个投标人只能中</w:t>
      </w:r>
      <w:r>
        <w:rPr>
          <w:sz w:val="24"/>
        </w:rPr>
        <w:t>1</w:t>
      </w:r>
      <w:r>
        <w:rPr>
          <w:rFonts w:hint="eastAsia"/>
          <w:sz w:val="24"/>
        </w:rPr>
        <w:t>个标段。若同一投标人在多个标段均排名第一时，该投标人为其中工程造价较大标段排名第一的中标候选人；已被确定为排名第一的中标候选人，不再参与其他标段的排名。以此类推。</w:t>
      </w:r>
    </w:p>
    <w:p>
      <w:pPr>
        <w:spacing w:line="320" w:lineRule="exact"/>
        <w:ind w:firstLine="480" w:firstLineChars="200"/>
        <w:rPr>
          <w:color w:val="FF0000"/>
          <w:sz w:val="24"/>
        </w:rPr>
      </w:pPr>
      <w:r>
        <w:rPr>
          <w:rFonts w:hint="eastAsia"/>
          <w:sz w:val="24"/>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组织相应标段的招标。</w:t>
      </w:r>
      <w:r>
        <w:rPr>
          <w:rFonts w:hint="eastAsia"/>
          <w:color w:val="FF0000"/>
          <w:sz w:val="24"/>
        </w:rPr>
        <w:t>（适用于分多个标段、推荐</w:t>
      </w:r>
      <w:r>
        <w:rPr>
          <w:color w:val="FF0000"/>
          <w:sz w:val="24"/>
        </w:rPr>
        <w:t>3</w:t>
      </w:r>
      <w:r>
        <w:rPr>
          <w:rFonts w:hint="eastAsia"/>
          <w:color w:val="FF0000"/>
          <w:sz w:val="24"/>
        </w:rPr>
        <w:t>名中标候选人且只允许中一个标段的项目）</w:t>
      </w:r>
    </w:p>
    <w:p>
      <w:pPr>
        <w:spacing w:line="320" w:lineRule="exact"/>
        <w:ind w:firstLine="480" w:firstLineChars="200"/>
        <w:rPr>
          <w:color w:val="FF0000"/>
          <w:sz w:val="24"/>
        </w:rPr>
      </w:pPr>
      <w:r>
        <w:rPr>
          <w:color w:val="FF0000"/>
          <w:sz w:val="24"/>
        </w:rPr>
        <w:t>7.1.3</w:t>
      </w:r>
      <w:r>
        <w:rPr>
          <w:rFonts w:hint="eastAsia"/>
          <w:sz w:val="24"/>
        </w:rPr>
        <w:t>评标委员会依据评标方法及评标细则，对投标文件进行评审和比较，向招标人提出书面评标报告，</w:t>
      </w:r>
      <w:r>
        <w:rPr>
          <w:rFonts w:hint="eastAsia"/>
          <w:sz w:val="24"/>
          <w:highlight w:val="cyan"/>
        </w:rPr>
        <w:t>并按投标报价在合理范围内偏离评标基准价由小到大的次序，</w:t>
      </w:r>
      <w:r>
        <w:rPr>
          <w:rFonts w:hint="eastAsia"/>
          <w:sz w:val="24"/>
        </w:rPr>
        <w:t>各标段分别推荐</w:t>
      </w:r>
      <w:r>
        <w:rPr>
          <w:sz w:val="24"/>
        </w:rPr>
        <w:t>3</w:t>
      </w:r>
      <w:r>
        <w:rPr>
          <w:rFonts w:hint="eastAsia"/>
          <w:sz w:val="24"/>
        </w:rPr>
        <w:t>名合格的中标候选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组织相应标段的招标。</w:t>
      </w:r>
      <w:r>
        <w:rPr>
          <w:rFonts w:hint="eastAsia"/>
          <w:color w:val="FF0000"/>
          <w:sz w:val="24"/>
        </w:rPr>
        <w:t>（适用于分多个标段、推荐</w:t>
      </w:r>
      <w:r>
        <w:rPr>
          <w:color w:val="FF0000"/>
          <w:sz w:val="24"/>
        </w:rPr>
        <w:t>3</w:t>
      </w:r>
      <w:r>
        <w:rPr>
          <w:rFonts w:hint="eastAsia"/>
          <w:color w:val="FF0000"/>
          <w:sz w:val="24"/>
        </w:rPr>
        <w:t>名中标候选人且可兼投兼中的项目）</w:t>
      </w:r>
    </w:p>
    <w:p>
      <w:pPr>
        <w:spacing w:line="320" w:lineRule="exact"/>
        <w:ind w:firstLine="480" w:firstLineChars="200"/>
        <w:rPr>
          <w:sz w:val="24"/>
        </w:rPr>
      </w:pPr>
      <w:r>
        <w:rPr>
          <w:rFonts w:hint="eastAsia"/>
          <w:sz w:val="24"/>
        </w:rPr>
        <w:t>7.1.4编制评标报告</w:t>
      </w:r>
    </w:p>
    <w:p>
      <w:pPr>
        <w:spacing w:line="320" w:lineRule="exact"/>
        <w:ind w:firstLine="480" w:firstLineChars="200"/>
        <w:rPr>
          <w:sz w:val="24"/>
        </w:rPr>
      </w:pPr>
      <w:r>
        <w:rPr>
          <w:rFonts w:hint="eastAsia"/>
          <w:sz w:val="24"/>
        </w:rPr>
        <w:t>评标委员会向招标人提交评标报告。评标报告应当由全体评标委员会成员签字。评标报告应当包括以下内容：</w:t>
      </w:r>
    </w:p>
    <w:p>
      <w:pPr>
        <w:spacing w:line="350" w:lineRule="exact"/>
        <w:ind w:firstLine="480" w:firstLineChars="200"/>
        <w:rPr>
          <w:sz w:val="24"/>
        </w:rPr>
      </w:pPr>
      <w:r>
        <w:rPr>
          <w:rFonts w:hint="eastAsia"/>
          <w:sz w:val="24"/>
        </w:rPr>
        <w:t>（1）基本情况和数据表；</w:t>
      </w:r>
    </w:p>
    <w:p>
      <w:pPr>
        <w:spacing w:line="350" w:lineRule="exact"/>
        <w:ind w:firstLine="480" w:firstLineChars="200"/>
        <w:rPr>
          <w:sz w:val="24"/>
        </w:rPr>
      </w:pPr>
      <w:r>
        <w:rPr>
          <w:rFonts w:hint="eastAsia"/>
          <w:sz w:val="24"/>
        </w:rPr>
        <w:t>（2）评标委员会成员名单；</w:t>
      </w:r>
    </w:p>
    <w:p>
      <w:pPr>
        <w:spacing w:line="350" w:lineRule="exact"/>
        <w:ind w:firstLine="480" w:firstLineChars="200"/>
        <w:rPr>
          <w:sz w:val="24"/>
        </w:rPr>
      </w:pPr>
      <w:r>
        <w:rPr>
          <w:rFonts w:hint="eastAsia"/>
          <w:sz w:val="24"/>
        </w:rPr>
        <w:t>（3）开标记录；</w:t>
      </w:r>
    </w:p>
    <w:p>
      <w:pPr>
        <w:spacing w:line="350" w:lineRule="exact"/>
        <w:ind w:firstLine="480" w:firstLineChars="200"/>
        <w:rPr>
          <w:sz w:val="24"/>
        </w:rPr>
      </w:pPr>
      <w:r>
        <w:rPr>
          <w:rFonts w:hint="eastAsia"/>
          <w:sz w:val="24"/>
        </w:rPr>
        <w:t>（4）符合要求的投标一览表；</w:t>
      </w:r>
    </w:p>
    <w:p>
      <w:pPr>
        <w:spacing w:line="350" w:lineRule="exact"/>
        <w:ind w:firstLine="480" w:firstLineChars="200"/>
        <w:rPr>
          <w:sz w:val="24"/>
        </w:rPr>
      </w:pPr>
      <w:r>
        <w:rPr>
          <w:rFonts w:hint="eastAsia"/>
          <w:sz w:val="24"/>
        </w:rPr>
        <w:t>（5）废标情况说明；</w:t>
      </w:r>
    </w:p>
    <w:p>
      <w:pPr>
        <w:spacing w:line="350" w:lineRule="exact"/>
        <w:ind w:firstLine="480" w:firstLineChars="200"/>
        <w:rPr>
          <w:sz w:val="24"/>
        </w:rPr>
      </w:pPr>
      <w:r>
        <w:rPr>
          <w:rFonts w:hint="eastAsia"/>
          <w:sz w:val="24"/>
        </w:rPr>
        <w:t>（6）评标标准、评标方法或者评标因素一览表；</w:t>
      </w:r>
    </w:p>
    <w:p>
      <w:pPr>
        <w:spacing w:line="350" w:lineRule="exact"/>
        <w:ind w:firstLine="480" w:firstLineChars="200"/>
        <w:rPr>
          <w:sz w:val="24"/>
        </w:rPr>
      </w:pPr>
      <w:r>
        <w:rPr>
          <w:rFonts w:hint="eastAsia"/>
          <w:sz w:val="24"/>
        </w:rPr>
        <w:t>（7）经评审的价格一览表（包括评标委员会在评标过程中所形成的所有记载评标结果、结论的表格、说明、记录等文件）；</w:t>
      </w:r>
    </w:p>
    <w:p>
      <w:pPr>
        <w:spacing w:line="350" w:lineRule="exact"/>
        <w:ind w:firstLine="480" w:firstLineChars="200"/>
        <w:rPr>
          <w:sz w:val="24"/>
        </w:rPr>
      </w:pPr>
      <w:r>
        <w:rPr>
          <w:rFonts w:hint="eastAsia"/>
          <w:sz w:val="24"/>
        </w:rPr>
        <w:t>（8）经评审的投标人排序；</w:t>
      </w:r>
    </w:p>
    <w:p>
      <w:pPr>
        <w:spacing w:line="350" w:lineRule="exact"/>
        <w:ind w:firstLine="480" w:firstLineChars="200"/>
        <w:rPr>
          <w:sz w:val="24"/>
        </w:rPr>
      </w:pPr>
      <w:r>
        <w:rPr>
          <w:rFonts w:hint="eastAsia"/>
          <w:sz w:val="24"/>
        </w:rPr>
        <w:t>（9）推荐的中标候选人名单与签订合同前要处理的事宜；</w:t>
      </w:r>
    </w:p>
    <w:p>
      <w:pPr>
        <w:spacing w:line="350" w:lineRule="exact"/>
        <w:ind w:firstLine="480" w:firstLineChars="200"/>
        <w:rPr>
          <w:sz w:val="24"/>
        </w:rPr>
      </w:pPr>
      <w:r>
        <w:rPr>
          <w:rFonts w:hint="eastAsia"/>
          <w:sz w:val="24"/>
        </w:rPr>
        <w:t>（10）澄清、说明、补正事项纪要。</w:t>
      </w:r>
    </w:p>
    <w:p>
      <w:pPr>
        <w:spacing w:line="350" w:lineRule="exact"/>
        <w:ind w:firstLine="480" w:firstLineChars="200"/>
        <w:rPr>
          <w:sz w:val="24"/>
        </w:rPr>
      </w:pPr>
      <w:r>
        <w:rPr>
          <w:rFonts w:hint="eastAsia"/>
          <w:sz w:val="24"/>
        </w:rPr>
        <w:t>7.1.5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exact"/>
        <w:ind w:firstLine="480" w:firstLineChars="200"/>
        <w:rPr>
          <w:sz w:val="24"/>
        </w:rPr>
      </w:pPr>
      <w:r>
        <w:rPr>
          <w:rFonts w:hint="eastAsia"/>
          <w:sz w:val="24"/>
        </w:rPr>
        <w:t>7.1.6向招标人提交书面评标报告后，评标委员会即告解散。</w:t>
      </w:r>
    </w:p>
    <w:p>
      <w:pPr>
        <w:spacing w:line="350" w:lineRule="exact"/>
        <w:ind w:firstLine="480" w:firstLineChars="200"/>
        <w:rPr>
          <w:sz w:val="24"/>
        </w:rPr>
      </w:pPr>
      <w:r>
        <w:rPr>
          <w:rFonts w:hint="eastAsia"/>
          <w:sz w:val="24"/>
        </w:rPr>
        <w:t>7.1.7评标委员会经评审，认为所有投标都不符合招标文件要求的，可以否决所有投标。所有投标被否决后，招标人应当依法重新招标。</w:t>
      </w:r>
    </w:p>
    <w:p>
      <w:pPr>
        <w:spacing w:line="350" w:lineRule="exact"/>
        <w:ind w:firstLine="480" w:firstLineChars="200"/>
        <w:rPr>
          <w:b/>
          <w:sz w:val="24"/>
        </w:rPr>
      </w:pPr>
      <w:r>
        <w:rPr>
          <w:rFonts w:hint="eastAsia"/>
          <w:sz w:val="24"/>
        </w:rPr>
        <w:t>7.1.8特殊情况的处置程序</w:t>
      </w:r>
    </w:p>
    <w:p>
      <w:pPr>
        <w:spacing w:line="350" w:lineRule="exact"/>
        <w:ind w:firstLine="480" w:firstLineChars="200"/>
        <w:rPr>
          <w:sz w:val="24"/>
        </w:rPr>
      </w:pPr>
      <w:r>
        <w:rPr>
          <w:rFonts w:hint="eastAsia"/>
          <w:sz w:val="24"/>
        </w:rPr>
        <w:t>7.1.8.1关于评标活动暂停</w:t>
      </w:r>
    </w:p>
    <w:p>
      <w:pPr>
        <w:spacing w:line="350" w:lineRule="exact"/>
        <w:ind w:firstLine="480" w:firstLineChars="200"/>
        <w:rPr>
          <w:sz w:val="24"/>
        </w:rPr>
      </w:pPr>
      <w:r>
        <w:rPr>
          <w:rFonts w:hint="eastAsia"/>
          <w:sz w:val="24"/>
        </w:rPr>
        <w:t>评标委员会应当执行连续评标的原则，按评标办法中规定的程序、内容、方法、标准完成全部评标工作。只有发生不可抗力导致评标工作无法继续时，评标活动方可暂停。</w:t>
      </w:r>
    </w:p>
    <w:p>
      <w:pPr>
        <w:spacing w:line="350" w:lineRule="exact"/>
        <w:ind w:firstLine="480" w:firstLineChars="200"/>
        <w:rPr>
          <w:sz w:val="24"/>
        </w:rPr>
      </w:pPr>
      <w:r>
        <w:rPr>
          <w:rFonts w:hint="eastAsia"/>
          <w:sz w:val="24"/>
        </w:rPr>
        <w:t>发生评标暂停情况时，评标委员会应当封存全部投标文件和评标记录，待不可抗力的影响结束且具备继续评标的条件时，由原评标委员会继续评标。</w:t>
      </w:r>
    </w:p>
    <w:p>
      <w:pPr>
        <w:spacing w:line="350" w:lineRule="exact"/>
        <w:ind w:firstLine="480" w:firstLineChars="200"/>
        <w:rPr>
          <w:sz w:val="24"/>
        </w:rPr>
      </w:pPr>
      <w:r>
        <w:rPr>
          <w:rFonts w:hint="eastAsia"/>
          <w:sz w:val="24"/>
        </w:rPr>
        <w:t>7.1.8.2关于评标中途更换评委</w:t>
      </w:r>
    </w:p>
    <w:p>
      <w:pPr>
        <w:spacing w:line="350" w:lineRule="exact"/>
        <w:ind w:firstLine="480" w:firstLineChars="200"/>
        <w:rPr>
          <w:sz w:val="24"/>
        </w:rPr>
      </w:pPr>
      <w:r>
        <w:rPr>
          <w:rFonts w:hint="eastAsia"/>
          <w:sz w:val="24"/>
        </w:rPr>
        <w:t>除非发生下列情况之一，评标委员会成员不得在评标中途更换：</w:t>
      </w:r>
    </w:p>
    <w:p>
      <w:pPr>
        <w:spacing w:line="350" w:lineRule="exact"/>
        <w:ind w:firstLine="480" w:firstLineChars="200"/>
        <w:rPr>
          <w:sz w:val="24"/>
        </w:rPr>
      </w:pPr>
      <w:r>
        <w:rPr>
          <w:rFonts w:hint="eastAsia"/>
          <w:sz w:val="24"/>
        </w:rPr>
        <w:t>（1） 因不可抗拒的客观原因，不能到场或需在评标中途退出评标活动。</w:t>
      </w:r>
    </w:p>
    <w:p>
      <w:pPr>
        <w:spacing w:line="350" w:lineRule="exact"/>
        <w:ind w:firstLine="480" w:firstLineChars="200"/>
        <w:rPr>
          <w:sz w:val="24"/>
        </w:rPr>
      </w:pPr>
      <w:r>
        <w:rPr>
          <w:rFonts w:hint="eastAsia"/>
          <w:sz w:val="24"/>
        </w:rPr>
        <w:t>（2） 根据法律法规规定，某个或某几个评标委员会成员需要回避。</w:t>
      </w:r>
    </w:p>
    <w:p>
      <w:pPr>
        <w:spacing w:line="350" w:lineRule="exact"/>
        <w:ind w:firstLine="480" w:firstLineChars="200"/>
        <w:rPr>
          <w:sz w:val="24"/>
        </w:rPr>
      </w:pPr>
      <w:r>
        <w:rPr>
          <w:rFonts w:hint="eastAsia"/>
          <w:sz w:val="24"/>
        </w:rPr>
        <w:t>退出评标的评标委员会成员，其已完成的评标行为无效。由招标人根据本招标文件规定的评标委员会成员产生方式另行确定替代者进行评标。</w:t>
      </w:r>
    </w:p>
    <w:p>
      <w:pPr>
        <w:spacing w:line="350" w:lineRule="exact"/>
        <w:ind w:firstLine="480" w:firstLineChars="200"/>
        <w:rPr>
          <w:sz w:val="24"/>
        </w:rPr>
      </w:pPr>
      <w:r>
        <w:rPr>
          <w:rFonts w:hint="eastAsia"/>
          <w:sz w:val="24"/>
        </w:rPr>
        <w:t>7.1.8.3关于记名投票表决评审结论</w:t>
      </w:r>
    </w:p>
    <w:p>
      <w:pPr>
        <w:spacing w:line="340" w:lineRule="exact"/>
        <w:ind w:firstLine="480" w:firstLineChars="200"/>
        <w:rPr>
          <w:sz w:val="24"/>
        </w:rPr>
      </w:pPr>
      <w:r>
        <w:rPr>
          <w:rFonts w:hint="eastAsia"/>
          <w:sz w:val="24"/>
        </w:rPr>
        <w:t>在任何评标环节中，需评标委员会就某项定性的评审结论做出表决的，由评标委员会全体成员按照少数服从多数的原则，以记名投票方式表决。</w:t>
      </w:r>
    </w:p>
    <w:p>
      <w:pPr>
        <w:pStyle w:val="4"/>
        <w:spacing w:before="120" w:after="240" w:line="360" w:lineRule="exact"/>
        <w:rPr>
          <w:rFonts w:eastAsia="黑体"/>
          <w:b w:val="0"/>
          <w:sz w:val="28"/>
          <w:szCs w:val="28"/>
        </w:rPr>
      </w:pPr>
      <w:bookmarkStart w:id="170" w:name="_Toc312072266"/>
      <w:bookmarkStart w:id="171" w:name="_Toc152042342"/>
      <w:bookmarkStart w:id="172" w:name="_Toc152045566"/>
      <w:bookmarkStart w:id="173" w:name="_Toc269310954"/>
      <w:bookmarkStart w:id="174" w:name="_Toc144974534"/>
      <w:r>
        <w:rPr>
          <w:rFonts w:hint="eastAsia" w:eastAsia="黑体"/>
          <w:b w:val="0"/>
          <w:sz w:val="28"/>
          <w:szCs w:val="28"/>
        </w:rPr>
        <w:t>7.2中标通知</w:t>
      </w:r>
      <w:bookmarkEnd w:id="170"/>
    </w:p>
    <w:p>
      <w:pPr>
        <w:spacing w:line="350" w:lineRule="exact"/>
        <w:ind w:firstLine="480" w:firstLineChars="200"/>
        <w:rPr>
          <w:sz w:val="24"/>
        </w:rPr>
      </w:pPr>
      <w:r>
        <w:rPr>
          <w:rFonts w:hint="eastAsia"/>
          <w:sz w:val="24"/>
        </w:rPr>
        <w:t>7</w:t>
      </w:r>
      <w:r>
        <w:rPr>
          <w:sz w:val="24"/>
        </w:rPr>
        <w:t>.</w:t>
      </w:r>
      <w:r>
        <w:rPr>
          <w:rFonts w:hint="eastAsia"/>
          <w:sz w:val="24"/>
        </w:rPr>
        <w:t>2.</w:t>
      </w:r>
      <w:r>
        <w:rPr>
          <w:sz w:val="24"/>
        </w:rPr>
        <w:t>1</w:t>
      </w:r>
      <w:r>
        <w:rPr>
          <w:rFonts w:hint="eastAsia"/>
          <w:sz w:val="24"/>
        </w:rPr>
        <w:t>依法必须进行招标的项目，招标人应当自收到评标报告之日起</w:t>
      </w:r>
      <w:r>
        <w:rPr>
          <w:sz w:val="24"/>
        </w:rPr>
        <w:t>3</w:t>
      </w:r>
      <w:r>
        <w:rPr>
          <w:rFonts w:hint="eastAsia"/>
          <w:sz w:val="24"/>
        </w:rPr>
        <w:t>日内公示中标候选人，公示期不得少于</w:t>
      </w:r>
      <w:r>
        <w:rPr>
          <w:sz w:val="24"/>
        </w:rPr>
        <w:t>3</w:t>
      </w:r>
      <w:r>
        <w:rPr>
          <w:rFonts w:hint="eastAsia"/>
          <w:sz w:val="24"/>
        </w:rPr>
        <w:t>个工作日。</w:t>
      </w:r>
      <w:r>
        <w:rPr>
          <w:sz w:val="24"/>
        </w:rPr>
        <w:t>公示期满未有异议</w:t>
      </w:r>
      <w:r>
        <w:rPr>
          <w:rFonts w:hint="eastAsia"/>
          <w:b/>
          <w:sz w:val="24"/>
        </w:rPr>
        <w:t>，</w:t>
      </w:r>
      <w:r>
        <w:rPr>
          <w:sz w:val="24"/>
        </w:rPr>
        <w:t>招标人以《中标通知书》的方式通知中标人其投标被接受。</w:t>
      </w:r>
      <w:r>
        <w:rPr>
          <w:rFonts w:hint="eastAsia"/>
          <w:sz w:val="24"/>
        </w:rPr>
        <w:t>招标人应自中标通知书发出之日起</w:t>
      </w:r>
      <w:r>
        <w:rPr>
          <w:sz w:val="24"/>
        </w:rPr>
        <w:t>15</w:t>
      </w:r>
      <w:r>
        <w:rPr>
          <w:rFonts w:hint="eastAsia"/>
          <w:sz w:val="24"/>
        </w:rPr>
        <w:t>日内向住房和城乡建设主管部门提交招标投标情况的书面报告。</w:t>
      </w:r>
    </w:p>
    <w:p>
      <w:pPr>
        <w:spacing w:line="360" w:lineRule="exact"/>
        <w:ind w:firstLine="480" w:firstLineChars="200"/>
        <w:rPr>
          <w:sz w:val="24"/>
        </w:rPr>
      </w:pPr>
      <w:r>
        <w:rPr>
          <w:rFonts w:hint="eastAsia"/>
          <w:sz w:val="24"/>
        </w:rPr>
        <w:t>7</w:t>
      </w:r>
      <w:r>
        <w:rPr>
          <w:sz w:val="24"/>
        </w:rPr>
        <w:t>.</w:t>
      </w:r>
      <w:r>
        <w:rPr>
          <w:rFonts w:hint="eastAsia"/>
          <w:sz w:val="24"/>
        </w:rPr>
        <w:t>2.2</w:t>
      </w:r>
      <w:r>
        <w:rPr>
          <w:sz w:val="24"/>
        </w:rPr>
        <w:t>招标人将在发出</w:t>
      </w:r>
      <w:r>
        <w:rPr>
          <w:rFonts w:hint="eastAsia"/>
          <w:sz w:val="24"/>
        </w:rPr>
        <w:t>《</w:t>
      </w:r>
      <w:r>
        <w:rPr>
          <w:sz w:val="24"/>
        </w:rPr>
        <w:t>中标通知书</w:t>
      </w:r>
      <w:r>
        <w:rPr>
          <w:rFonts w:hint="eastAsia"/>
          <w:sz w:val="24"/>
        </w:rPr>
        <w:t>》</w:t>
      </w:r>
      <w:r>
        <w:rPr>
          <w:sz w:val="24"/>
        </w:rPr>
        <w:t>的同时，将中标结果以书面形式通知所有未中标的投标人。</w:t>
      </w:r>
    </w:p>
    <w:p>
      <w:pPr>
        <w:spacing w:line="360" w:lineRule="exact"/>
        <w:ind w:firstLine="480" w:firstLineChars="200"/>
        <w:rPr>
          <w:sz w:val="24"/>
        </w:rPr>
      </w:pPr>
      <w:r>
        <w:rPr>
          <w:rFonts w:hint="eastAsia"/>
          <w:sz w:val="24"/>
        </w:rPr>
        <w:t>7</w:t>
      </w:r>
      <w:r>
        <w:rPr>
          <w:sz w:val="24"/>
        </w:rPr>
        <w:t>.</w:t>
      </w:r>
      <w:r>
        <w:rPr>
          <w:rFonts w:hint="eastAsia"/>
          <w:sz w:val="24"/>
        </w:rPr>
        <w:t>2.3《</w:t>
      </w:r>
      <w:r>
        <w:rPr>
          <w:sz w:val="24"/>
        </w:rPr>
        <w:t>中标通知书</w:t>
      </w:r>
      <w:r>
        <w:rPr>
          <w:rFonts w:hint="eastAsia"/>
          <w:sz w:val="24"/>
        </w:rPr>
        <w:t>》</w:t>
      </w:r>
      <w:r>
        <w:rPr>
          <w:sz w:val="24"/>
        </w:rPr>
        <w:t>将作为施工合同的组成部分。中标通知书发出后，招标人改变中标结果的，或者中标人放弃中标的，应当依法承担法律责任。</w:t>
      </w:r>
    </w:p>
    <w:p>
      <w:pPr>
        <w:pStyle w:val="4"/>
        <w:spacing w:before="120" w:after="240" w:line="360" w:lineRule="exact"/>
        <w:rPr>
          <w:rFonts w:eastAsia="黑体"/>
          <w:b w:val="0"/>
          <w:sz w:val="28"/>
          <w:szCs w:val="28"/>
        </w:rPr>
      </w:pPr>
      <w:bookmarkStart w:id="175" w:name="_Toc312072267"/>
      <w:r>
        <w:rPr>
          <w:rFonts w:hint="eastAsia" w:eastAsia="黑体"/>
          <w:b w:val="0"/>
          <w:sz w:val="28"/>
          <w:szCs w:val="28"/>
        </w:rPr>
        <w:t>7</w:t>
      </w:r>
      <w:r>
        <w:rPr>
          <w:rFonts w:eastAsia="黑体"/>
          <w:b w:val="0"/>
          <w:sz w:val="28"/>
          <w:szCs w:val="28"/>
        </w:rPr>
        <w:t>.</w:t>
      </w:r>
      <w:r>
        <w:rPr>
          <w:rFonts w:hint="eastAsia" w:eastAsia="黑体"/>
          <w:b w:val="0"/>
          <w:sz w:val="28"/>
          <w:szCs w:val="28"/>
        </w:rPr>
        <w:t>3</w:t>
      </w:r>
      <w:r>
        <w:rPr>
          <w:rFonts w:eastAsia="黑体"/>
          <w:b w:val="0"/>
          <w:sz w:val="28"/>
          <w:szCs w:val="28"/>
        </w:rPr>
        <w:t xml:space="preserve"> 履约</w:t>
      </w:r>
      <w:bookmarkEnd w:id="175"/>
      <w:r>
        <w:rPr>
          <w:rFonts w:hint="eastAsia" w:eastAsia="黑体"/>
          <w:b w:val="0"/>
          <w:sz w:val="28"/>
          <w:szCs w:val="28"/>
        </w:rPr>
        <w:t>担保</w:t>
      </w:r>
    </w:p>
    <w:p>
      <w:pPr>
        <w:spacing w:line="360" w:lineRule="exact"/>
        <w:ind w:firstLine="480" w:firstLineChars="200"/>
        <w:rPr>
          <w:sz w:val="24"/>
        </w:rPr>
      </w:pPr>
      <w:r>
        <w:rPr>
          <w:rFonts w:hint="eastAsia"/>
          <w:sz w:val="24"/>
        </w:rPr>
        <w:t>见投标人须知前附表</w:t>
      </w:r>
    </w:p>
    <w:p>
      <w:pPr>
        <w:pStyle w:val="4"/>
        <w:spacing w:before="120" w:after="240" w:line="360" w:lineRule="exact"/>
        <w:rPr>
          <w:rFonts w:eastAsia="黑体"/>
          <w:b w:val="0"/>
          <w:sz w:val="28"/>
          <w:szCs w:val="28"/>
        </w:rPr>
      </w:pPr>
      <w:bookmarkStart w:id="176" w:name="_Toc312072268"/>
      <w:r>
        <w:rPr>
          <w:rFonts w:hint="eastAsia" w:eastAsia="黑体"/>
          <w:b w:val="0"/>
          <w:sz w:val="28"/>
          <w:szCs w:val="28"/>
        </w:rPr>
        <w:t>7</w:t>
      </w:r>
      <w:r>
        <w:rPr>
          <w:rFonts w:eastAsia="黑体"/>
          <w:b w:val="0"/>
          <w:sz w:val="28"/>
          <w:szCs w:val="28"/>
        </w:rPr>
        <w:t>.</w:t>
      </w:r>
      <w:r>
        <w:rPr>
          <w:rFonts w:hint="eastAsia" w:eastAsia="黑体"/>
          <w:b w:val="0"/>
          <w:sz w:val="28"/>
          <w:szCs w:val="28"/>
        </w:rPr>
        <w:t>4签订合同</w:t>
      </w:r>
      <w:bookmarkEnd w:id="176"/>
    </w:p>
    <w:p>
      <w:pPr>
        <w:spacing w:line="360" w:lineRule="exact"/>
        <w:ind w:firstLine="480" w:firstLineChars="200"/>
        <w:rPr>
          <w:sz w:val="24"/>
        </w:rPr>
      </w:pPr>
      <w:r>
        <w:rPr>
          <w:rFonts w:hint="eastAsia"/>
          <w:color w:val="FF0000"/>
          <w:sz w:val="24"/>
        </w:rPr>
        <w:t>7</w:t>
      </w:r>
      <w:r>
        <w:rPr>
          <w:rFonts w:hint="eastAsia"/>
          <w:sz w:val="24"/>
        </w:rPr>
        <w:t>.4.1招标人与中标人应自中标通知书发出之日起30日内，按照招标文件和中标人的投标文件订立书面合同。</w:t>
      </w:r>
    </w:p>
    <w:p>
      <w:pPr>
        <w:spacing w:line="360" w:lineRule="exact"/>
        <w:ind w:firstLine="480" w:firstLineChars="200"/>
        <w:rPr>
          <w:color w:val="FF0000"/>
          <w:sz w:val="24"/>
        </w:rPr>
      </w:pPr>
      <w:r>
        <w:rPr>
          <w:rFonts w:hint="eastAsia"/>
          <w:sz w:val="24"/>
          <w:highlight w:val="cyan"/>
        </w:rPr>
        <w:t>招标完成后，招标人或其委托的代理机构应及时向住房城乡建设主管部门和公共资源交易中心提交招标投标归档资料。</w:t>
      </w:r>
    </w:p>
    <w:p>
      <w:pPr>
        <w:spacing w:line="360" w:lineRule="exact"/>
        <w:ind w:firstLine="480" w:firstLineChars="200"/>
        <w:rPr>
          <w:sz w:val="24"/>
        </w:rPr>
      </w:pPr>
      <w:r>
        <w:rPr>
          <w:rFonts w:hint="eastAsia"/>
          <w:sz w:val="24"/>
        </w:rPr>
        <w:t>7.4.2中标人如不按本招标文件的规定与招标人订立合同，则招标人将取消其中标资格，投标保证金不予退还，给招标人造成的损失超过投标保证金数额的，还应当对超出部分予以赔偿，并依法承担相应的法律责任。</w:t>
      </w:r>
    </w:p>
    <w:p>
      <w:pPr>
        <w:spacing w:line="360" w:lineRule="exact"/>
        <w:ind w:firstLine="480" w:firstLineChars="200"/>
        <w:rPr>
          <w:sz w:val="24"/>
        </w:rPr>
      </w:pPr>
      <w:r>
        <w:rPr>
          <w:rFonts w:hint="eastAsia"/>
          <w:sz w:val="24"/>
        </w:rPr>
        <w:t>7.4.3 发出中标通知书后，招标人无正当理由拒签合同的，招标人向中标人退还投标保证金；给中标人造成损失的，还应当赔偿损失。</w:t>
      </w:r>
    </w:p>
    <w:p>
      <w:pPr>
        <w:spacing w:line="360" w:lineRule="exact"/>
        <w:ind w:firstLine="480" w:firstLineChars="200"/>
        <w:rPr>
          <w:sz w:val="24"/>
        </w:rPr>
      </w:pPr>
      <w:r>
        <w:rPr>
          <w:rFonts w:hint="eastAsia"/>
          <w:sz w:val="24"/>
        </w:rPr>
        <w:t>7.4.4中标人应当按照合同约定履行义务，完成中标项目施工，不得将中标项目转包或违规分包。否则，将依照相关法律法规进行处理。</w:t>
      </w:r>
    </w:p>
    <w:p>
      <w:pPr>
        <w:spacing w:line="360" w:lineRule="exact"/>
        <w:ind w:firstLine="480" w:firstLineChars="200"/>
        <w:rPr>
          <w:sz w:val="24"/>
        </w:rPr>
      </w:pPr>
      <w:r>
        <w:rPr>
          <w:rFonts w:hint="eastAsia"/>
          <w:sz w:val="24"/>
        </w:rPr>
        <w:t>7.4.5中标人在投标文件中拟定的项目负责人，未经市建设行政主管部门同意不得任意更换。施工中，招标人认为项目负责人不称职时，可以向市建设行政主管部门提出申请要求更换项目负责人。</w:t>
      </w:r>
    </w:p>
    <w:bookmarkEnd w:id="171"/>
    <w:bookmarkEnd w:id="172"/>
    <w:bookmarkEnd w:id="173"/>
    <w:bookmarkEnd w:id="174"/>
    <w:p>
      <w:pPr>
        <w:pStyle w:val="66"/>
        <w:spacing w:before="120" w:after="240" w:line="360" w:lineRule="exact"/>
        <w:rPr>
          <w:rFonts w:cs="Times New Roman"/>
          <w:sz w:val="30"/>
          <w:szCs w:val="30"/>
        </w:rPr>
      </w:pPr>
      <w:bookmarkStart w:id="177" w:name="_Toc312072269"/>
      <w:bookmarkStart w:id="178" w:name="_Toc152045571"/>
      <w:bookmarkStart w:id="179" w:name="_Toc269310959"/>
      <w:bookmarkStart w:id="180" w:name="_Toc144974539"/>
      <w:bookmarkStart w:id="181" w:name="_Toc152042347"/>
      <w:r>
        <w:rPr>
          <w:rFonts w:hint="eastAsia" w:cs="Times New Roman"/>
          <w:sz w:val="30"/>
          <w:szCs w:val="30"/>
        </w:rPr>
        <w:t>8</w:t>
      </w:r>
      <w:r>
        <w:rPr>
          <w:rFonts w:cs="Times New Roman"/>
          <w:sz w:val="30"/>
          <w:szCs w:val="30"/>
        </w:rPr>
        <w:t>. 重新招标</w:t>
      </w:r>
      <w:bookmarkEnd w:id="177"/>
      <w:bookmarkEnd w:id="178"/>
      <w:bookmarkEnd w:id="179"/>
      <w:bookmarkEnd w:id="180"/>
      <w:bookmarkEnd w:id="181"/>
    </w:p>
    <w:p>
      <w:pPr>
        <w:pStyle w:val="4"/>
        <w:spacing w:before="120" w:after="240" w:line="360" w:lineRule="exact"/>
        <w:rPr>
          <w:rFonts w:eastAsia="黑体"/>
          <w:b w:val="0"/>
          <w:sz w:val="28"/>
          <w:szCs w:val="28"/>
        </w:rPr>
      </w:pPr>
      <w:bookmarkStart w:id="182" w:name="_Toc152045572"/>
      <w:bookmarkStart w:id="183" w:name="_Toc152042348"/>
      <w:bookmarkStart w:id="184" w:name="_Toc144974540"/>
      <w:bookmarkStart w:id="185" w:name="_Toc312072270"/>
      <w:bookmarkStart w:id="186" w:name="_Toc269310960"/>
      <w:r>
        <w:rPr>
          <w:rFonts w:hint="eastAsia" w:eastAsia="黑体"/>
          <w:b w:val="0"/>
          <w:sz w:val="28"/>
          <w:szCs w:val="28"/>
        </w:rPr>
        <w:t>8</w:t>
      </w:r>
      <w:r>
        <w:rPr>
          <w:rFonts w:eastAsia="黑体"/>
          <w:b w:val="0"/>
          <w:sz w:val="28"/>
          <w:szCs w:val="28"/>
        </w:rPr>
        <w:t>.1 重新招标</w:t>
      </w:r>
      <w:bookmarkEnd w:id="182"/>
      <w:bookmarkEnd w:id="183"/>
      <w:bookmarkEnd w:id="184"/>
      <w:bookmarkEnd w:id="185"/>
      <w:bookmarkEnd w:id="186"/>
    </w:p>
    <w:p>
      <w:pPr>
        <w:spacing w:line="360" w:lineRule="exact"/>
        <w:ind w:firstLine="480" w:firstLineChars="200"/>
        <w:rPr>
          <w:sz w:val="24"/>
        </w:rPr>
      </w:pPr>
      <w:r>
        <w:rPr>
          <w:sz w:val="24"/>
        </w:rPr>
        <w:t>有下列情形之一的，招标人将重新招标：</w:t>
      </w:r>
    </w:p>
    <w:p>
      <w:pPr>
        <w:spacing w:line="360" w:lineRule="exact"/>
        <w:ind w:firstLine="410" w:firstLineChars="171"/>
        <w:rPr>
          <w:sz w:val="24"/>
        </w:rPr>
      </w:pPr>
      <w:r>
        <w:rPr>
          <w:rFonts w:hint="eastAsia"/>
          <w:sz w:val="24"/>
        </w:rPr>
        <w:t>8</w:t>
      </w:r>
      <w:r>
        <w:rPr>
          <w:sz w:val="24"/>
        </w:rPr>
        <w:t>.1.1在投标截止时间时提交投标文件的投标人少于3个的；</w:t>
      </w:r>
    </w:p>
    <w:p>
      <w:pPr>
        <w:spacing w:line="360" w:lineRule="exact"/>
        <w:ind w:firstLine="410" w:firstLineChars="171"/>
        <w:rPr>
          <w:sz w:val="24"/>
        </w:rPr>
      </w:pPr>
      <w:r>
        <w:rPr>
          <w:rFonts w:hint="eastAsia"/>
          <w:sz w:val="24"/>
        </w:rPr>
        <w:t>8</w:t>
      </w:r>
      <w:r>
        <w:rPr>
          <w:sz w:val="24"/>
        </w:rPr>
        <w:t>.1.2所有投标均被</w:t>
      </w:r>
      <w:r>
        <w:rPr>
          <w:rFonts w:hint="eastAsia"/>
          <w:sz w:val="24"/>
        </w:rPr>
        <w:t>否决</w:t>
      </w:r>
      <w:r>
        <w:rPr>
          <w:sz w:val="24"/>
        </w:rPr>
        <w:t>的</w:t>
      </w:r>
      <w:r>
        <w:rPr>
          <w:rFonts w:hint="eastAsia"/>
          <w:sz w:val="24"/>
        </w:rPr>
        <w:t>。</w:t>
      </w:r>
    </w:p>
    <w:p>
      <w:pPr>
        <w:pStyle w:val="66"/>
        <w:spacing w:before="120" w:after="240" w:line="360" w:lineRule="exact"/>
        <w:rPr>
          <w:rFonts w:cs="Times New Roman"/>
          <w:sz w:val="30"/>
          <w:szCs w:val="30"/>
        </w:rPr>
      </w:pPr>
      <w:bookmarkStart w:id="187" w:name="_Toc152045574"/>
      <w:bookmarkStart w:id="188" w:name="_Toc312072272"/>
      <w:bookmarkStart w:id="189" w:name="_Toc152042350"/>
      <w:bookmarkStart w:id="190" w:name="_Toc269310962"/>
      <w:bookmarkStart w:id="191" w:name="_Toc144974542"/>
      <w:r>
        <w:rPr>
          <w:rFonts w:hint="eastAsia" w:cs="Times New Roman"/>
          <w:sz w:val="30"/>
          <w:szCs w:val="30"/>
        </w:rPr>
        <w:t>9</w:t>
      </w:r>
      <w:r>
        <w:rPr>
          <w:rFonts w:cs="Times New Roman"/>
          <w:sz w:val="30"/>
          <w:szCs w:val="30"/>
        </w:rPr>
        <w:t>. 纪律和监督</w:t>
      </w:r>
      <w:bookmarkEnd w:id="187"/>
      <w:bookmarkEnd w:id="188"/>
      <w:bookmarkEnd w:id="189"/>
      <w:bookmarkEnd w:id="190"/>
      <w:bookmarkEnd w:id="191"/>
    </w:p>
    <w:p>
      <w:pPr>
        <w:pStyle w:val="4"/>
        <w:spacing w:before="120" w:after="240" w:line="360" w:lineRule="exact"/>
        <w:rPr>
          <w:rFonts w:eastAsia="黑体"/>
          <w:b w:val="0"/>
          <w:sz w:val="28"/>
          <w:szCs w:val="28"/>
        </w:rPr>
      </w:pPr>
      <w:bookmarkStart w:id="192" w:name="_Toc312072273"/>
      <w:bookmarkStart w:id="193" w:name="_Toc152042357"/>
      <w:bookmarkStart w:id="194" w:name="_Toc144974547"/>
      <w:bookmarkStart w:id="195" w:name="_Toc269310968"/>
      <w:bookmarkStart w:id="196" w:name="_Toc152045580"/>
      <w:r>
        <w:rPr>
          <w:rFonts w:hint="eastAsia" w:eastAsia="黑体"/>
          <w:b w:val="0"/>
          <w:sz w:val="28"/>
          <w:szCs w:val="28"/>
        </w:rPr>
        <w:t>9.1 对招标人的纪律要求</w:t>
      </w:r>
      <w:bookmarkEnd w:id="192"/>
    </w:p>
    <w:p>
      <w:pPr>
        <w:spacing w:line="360" w:lineRule="exact"/>
        <w:ind w:firstLine="480" w:firstLineChars="200"/>
        <w:rPr>
          <w:sz w:val="24"/>
        </w:rPr>
      </w:pPr>
      <w:r>
        <w:rPr>
          <w:rFonts w:hint="eastAsia"/>
          <w:sz w:val="24"/>
        </w:rPr>
        <w:t>招标人不得泄漏招标投标活动中应当保密的情况和资料，不得与投标人串通损害国家利益、社会公共利益和他人合法权益。</w:t>
      </w:r>
    </w:p>
    <w:p>
      <w:pPr>
        <w:pStyle w:val="4"/>
        <w:spacing w:before="120" w:after="240" w:line="360" w:lineRule="exact"/>
        <w:rPr>
          <w:rFonts w:eastAsia="黑体"/>
          <w:b w:val="0"/>
          <w:sz w:val="28"/>
          <w:szCs w:val="28"/>
        </w:rPr>
      </w:pPr>
      <w:bookmarkStart w:id="197" w:name="_Toc312072274"/>
      <w:r>
        <w:rPr>
          <w:rFonts w:hint="eastAsia" w:eastAsia="黑体"/>
          <w:b w:val="0"/>
          <w:sz w:val="28"/>
          <w:szCs w:val="28"/>
        </w:rPr>
        <w:t>9.2 对投标人的纪律要求</w:t>
      </w:r>
      <w:bookmarkEnd w:id="197"/>
    </w:p>
    <w:p>
      <w:pPr>
        <w:spacing w:line="360" w:lineRule="exact"/>
        <w:ind w:firstLine="480" w:firstLineChars="200"/>
        <w:rPr>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120" w:after="240" w:line="360" w:lineRule="exact"/>
        <w:rPr>
          <w:rFonts w:eastAsia="黑体"/>
          <w:b w:val="0"/>
          <w:sz w:val="28"/>
          <w:szCs w:val="28"/>
        </w:rPr>
      </w:pPr>
      <w:bookmarkStart w:id="198" w:name="_Toc312072275"/>
      <w:r>
        <w:rPr>
          <w:rFonts w:hint="eastAsia" w:eastAsia="黑体"/>
          <w:b w:val="0"/>
          <w:sz w:val="28"/>
          <w:szCs w:val="28"/>
        </w:rPr>
        <w:t>9.3 对评标委员会成员的纪律要求</w:t>
      </w:r>
      <w:bookmarkEnd w:id="198"/>
    </w:p>
    <w:p>
      <w:pPr>
        <w:spacing w:line="360" w:lineRule="exact"/>
        <w:ind w:firstLine="480" w:firstLineChars="200"/>
        <w:rPr>
          <w:sz w:val="24"/>
        </w:rPr>
      </w:pPr>
      <w:r>
        <w:rPr>
          <w:rFonts w:hint="eastAsia"/>
          <w:sz w:val="24"/>
        </w:rPr>
        <w:t>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pStyle w:val="4"/>
        <w:spacing w:before="120" w:after="240" w:line="360" w:lineRule="exact"/>
        <w:rPr>
          <w:rFonts w:eastAsia="黑体"/>
          <w:b w:val="0"/>
          <w:sz w:val="28"/>
          <w:szCs w:val="28"/>
        </w:rPr>
      </w:pPr>
      <w:bookmarkStart w:id="199" w:name="_Toc312072276"/>
      <w:r>
        <w:rPr>
          <w:rFonts w:hint="eastAsia" w:eastAsia="黑体"/>
          <w:b w:val="0"/>
          <w:sz w:val="28"/>
          <w:szCs w:val="28"/>
        </w:rPr>
        <w:t>9.4 对与评标活动有关的工作人员的纪律要求</w:t>
      </w:r>
      <w:bookmarkEnd w:id="199"/>
    </w:p>
    <w:p>
      <w:pPr>
        <w:spacing w:line="360" w:lineRule="exact"/>
        <w:ind w:firstLine="480" w:firstLineChars="200"/>
        <w:rPr>
          <w:sz w:val="24"/>
        </w:rPr>
      </w:pPr>
      <w:r>
        <w:rPr>
          <w:rFonts w:hint="eastAsia"/>
          <w:sz w:val="24"/>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4"/>
        <w:spacing w:before="120" w:after="240" w:line="360" w:lineRule="exact"/>
        <w:rPr>
          <w:rFonts w:eastAsia="黑体"/>
          <w:b w:val="0"/>
          <w:sz w:val="28"/>
          <w:szCs w:val="28"/>
        </w:rPr>
      </w:pPr>
      <w:bookmarkStart w:id="200" w:name="_Toc312072277"/>
      <w:r>
        <w:rPr>
          <w:rFonts w:hint="eastAsia" w:eastAsia="黑体"/>
          <w:b w:val="0"/>
          <w:sz w:val="28"/>
          <w:szCs w:val="28"/>
        </w:rPr>
        <w:t>9.5 投诉</w:t>
      </w:r>
      <w:bookmarkEnd w:id="200"/>
    </w:p>
    <w:p>
      <w:pPr>
        <w:spacing w:line="360" w:lineRule="exact"/>
        <w:ind w:firstLine="480" w:firstLineChars="200"/>
        <w:rPr>
          <w:sz w:val="24"/>
        </w:rPr>
      </w:pPr>
      <w:r>
        <w:rPr>
          <w:rFonts w:hint="eastAsia"/>
          <w:sz w:val="24"/>
        </w:rPr>
        <w:t>投标人和其他利害关系人认为本次招标投标活动违反法律、法规和规章规定的，有权向市建设行政主管部门和相关监督部门投诉。</w:t>
      </w:r>
    </w:p>
    <w:p>
      <w:pPr>
        <w:pStyle w:val="66"/>
        <w:spacing w:before="120" w:after="240" w:line="360" w:lineRule="exact"/>
        <w:rPr>
          <w:rFonts w:cs="Times New Roman"/>
          <w:sz w:val="30"/>
          <w:szCs w:val="30"/>
        </w:rPr>
      </w:pPr>
      <w:bookmarkStart w:id="201" w:name="_Toc312072278"/>
      <w:r>
        <w:rPr>
          <w:rFonts w:hint="eastAsia" w:cs="Times New Roman"/>
          <w:sz w:val="30"/>
          <w:szCs w:val="30"/>
        </w:rPr>
        <w:t>10</w:t>
      </w:r>
      <w:r>
        <w:rPr>
          <w:rFonts w:cs="Times New Roman"/>
          <w:sz w:val="30"/>
          <w:szCs w:val="30"/>
        </w:rPr>
        <w:t>. 需要补充的其他内容</w:t>
      </w:r>
      <w:bookmarkEnd w:id="193"/>
      <w:bookmarkEnd w:id="194"/>
      <w:bookmarkEnd w:id="195"/>
      <w:bookmarkEnd w:id="196"/>
      <w:bookmarkEnd w:id="201"/>
    </w:p>
    <w:p>
      <w:pPr>
        <w:spacing w:line="360" w:lineRule="exact"/>
        <w:ind w:firstLine="480" w:firstLineChars="200"/>
        <w:rPr>
          <w:sz w:val="24"/>
        </w:rPr>
      </w:pPr>
      <w:r>
        <w:rPr>
          <w:sz w:val="24"/>
        </w:rPr>
        <w:t>需要补充的其他内容：</w:t>
      </w:r>
      <w:r>
        <w:rPr>
          <w:rFonts w:hint="eastAsia"/>
          <w:sz w:val="24"/>
        </w:rPr>
        <w:t>见投标人须知前附表。</w:t>
      </w: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pStyle w:val="2"/>
        <w:spacing w:line="240" w:lineRule="auto"/>
        <w:jc w:val="center"/>
        <w:rPr>
          <w:rFonts w:eastAsia="黑体"/>
          <w:b w:val="0"/>
        </w:rPr>
      </w:pPr>
      <w:r>
        <w:rPr>
          <w:rFonts w:eastAsia="黑体"/>
          <w:b w:val="0"/>
        </w:rPr>
        <w:br w:type="page"/>
      </w:r>
      <w:r>
        <w:rPr>
          <w:rFonts w:eastAsia="黑体"/>
          <w:b w:val="0"/>
        </w:rPr>
        <w:t>第</w:t>
      </w:r>
      <w:r>
        <w:rPr>
          <w:rFonts w:hint="eastAsia" w:eastAsia="黑体"/>
          <w:b w:val="0"/>
        </w:rPr>
        <w:t>三</w:t>
      </w:r>
      <w:r>
        <w:rPr>
          <w:rFonts w:eastAsia="黑体"/>
          <w:b w:val="0"/>
        </w:rPr>
        <w:t>章 评标办法</w:t>
      </w:r>
      <w:bookmarkEnd w:id="1"/>
    </w:p>
    <w:p>
      <w:pPr>
        <w:pStyle w:val="66"/>
        <w:spacing w:before="120" w:after="240" w:line="360" w:lineRule="exact"/>
        <w:jc w:val="center"/>
        <w:rPr>
          <w:rFonts w:cs="Times New Roman"/>
          <w:sz w:val="36"/>
          <w:szCs w:val="36"/>
        </w:rPr>
      </w:pPr>
      <w:bookmarkStart w:id="202" w:name="_Toc312072283"/>
      <w:r>
        <w:rPr>
          <w:rFonts w:hint="eastAsia" w:cs="Times New Roman"/>
          <w:sz w:val="36"/>
          <w:szCs w:val="36"/>
        </w:rPr>
        <w:t>评标办法前附表</w:t>
      </w:r>
      <w:bookmarkEnd w:id="202"/>
    </w:p>
    <w:tbl>
      <w:tblPr>
        <w:tblStyle w:val="4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12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Align w:val="center"/>
          </w:tcPr>
          <w:p>
            <w:pPr>
              <w:ind w:firstLine="420" w:firstLineChars="200"/>
              <w:rPr>
                <w:szCs w:val="21"/>
              </w:rPr>
            </w:pPr>
            <w:r>
              <w:rPr>
                <w:rFonts w:hint="eastAsia"/>
                <w:szCs w:val="21"/>
              </w:rPr>
              <w:t>条款名称</w:t>
            </w:r>
          </w:p>
        </w:tc>
        <w:tc>
          <w:tcPr>
            <w:tcW w:w="2126" w:type="dxa"/>
            <w:vAlign w:val="center"/>
          </w:tcPr>
          <w:p>
            <w:pPr>
              <w:ind w:firstLine="420" w:firstLineChars="200"/>
              <w:rPr>
                <w:szCs w:val="21"/>
              </w:rPr>
            </w:pPr>
            <w:r>
              <w:rPr>
                <w:rFonts w:hint="eastAsia"/>
                <w:szCs w:val="21"/>
              </w:rPr>
              <w:t>评审因素</w:t>
            </w:r>
          </w:p>
        </w:tc>
        <w:tc>
          <w:tcPr>
            <w:tcW w:w="4394" w:type="dxa"/>
            <w:vAlign w:val="center"/>
          </w:tcPr>
          <w:p>
            <w:pP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restart"/>
            <w:vAlign w:val="center"/>
          </w:tcPr>
          <w:p>
            <w:pPr>
              <w:rPr>
                <w:rFonts w:ascii="宋体" w:hAnsi="宋体"/>
                <w:szCs w:val="21"/>
              </w:rPr>
            </w:pPr>
            <w:r>
              <w:rPr>
                <w:rFonts w:hint="eastAsia" w:ascii="宋体" w:hAnsi="宋体"/>
                <w:szCs w:val="21"/>
              </w:rPr>
              <w:t>形式评审标准</w:t>
            </w:r>
          </w:p>
        </w:tc>
        <w:tc>
          <w:tcPr>
            <w:tcW w:w="2126" w:type="dxa"/>
            <w:vAlign w:val="center"/>
          </w:tcPr>
          <w:p>
            <w:pPr>
              <w:rPr>
                <w:rFonts w:ascii="宋体" w:hAnsi="宋体"/>
                <w:szCs w:val="21"/>
              </w:rPr>
            </w:pPr>
            <w:r>
              <w:rPr>
                <w:rFonts w:hint="eastAsia" w:ascii="宋体" w:hAnsi="宋体"/>
                <w:szCs w:val="21"/>
              </w:rPr>
              <w:t>投标人名称</w:t>
            </w:r>
          </w:p>
        </w:tc>
        <w:tc>
          <w:tcPr>
            <w:tcW w:w="4394" w:type="dxa"/>
            <w:vAlign w:val="center"/>
          </w:tcPr>
          <w:p>
            <w:pPr>
              <w:rPr>
                <w:rFonts w:ascii="宋体" w:hAnsi="宋体"/>
                <w:szCs w:val="21"/>
              </w:rPr>
            </w:pPr>
            <w:r>
              <w:rPr>
                <w:rFonts w:hint="eastAsia" w:ascii="宋体" w:hAnsi="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投标文件格式</w:t>
            </w:r>
          </w:p>
        </w:tc>
        <w:tc>
          <w:tcPr>
            <w:tcW w:w="4394" w:type="dxa"/>
            <w:vAlign w:val="center"/>
          </w:tcPr>
          <w:p>
            <w:pPr>
              <w:rPr>
                <w:rFonts w:ascii="宋体" w:hAnsi="宋体"/>
                <w:szCs w:val="21"/>
              </w:rPr>
            </w:pPr>
            <w:r>
              <w:rPr>
                <w:rFonts w:hint="eastAsia" w:ascii="宋体" w:hAnsi="宋体"/>
                <w:szCs w:val="21"/>
              </w:rPr>
              <w:t>投标文件符合第八章“投标文件格式”的要求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b/>
                <w:szCs w:val="21"/>
              </w:rPr>
            </w:pPr>
            <w:r>
              <w:rPr>
                <w:rFonts w:hint="eastAsia" w:ascii="宋体" w:hAnsi="宋体"/>
                <w:b/>
                <w:szCs w:val="21"/>
              </w:rPr>
              <w:t>联合体投标人（如有）</w:t>
            </w:r>
          </w:p>
        </w:tc>
        <w:tc>
          <w:tcPr>
            <w:tcW w:w="4394" w:type="dxa"/>
            <w:vAlign w:val="center"/>
          </w:tcPr>
          <w:p>
            <w:pPr>
              <w:rPr>
                <w:rFonts w:ascii="宋体" w:hAnsi="宋体"/>
                <w:b/>
                <w:szCs w:val="21"/>
              </w:rPr>
            </w:pPr>
            <w:r>
              <w:rPr>
                <w:rFonts w:hint="eastAsia" w:ascii="宋体" w:hAnsi="宋体"/>
                <w:b/>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报价唯一</w:t>
            </w:r>
          </w:p>
        </w:tc>
        <w:tc>
          <w:tcPr>
            <w:tcW w:w="4394" w:type="dxa"/>
            <w:vAlign w:val="center"/>
          </w:tcPr>
          <w:p>
            <w:pPr>
              <w:rPr>
                <w:rFonts w:ascii="宋体" w:hAnsi="宋体"/>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b/>
                <w:szCs w:val="21"/>
              </w:rPr>
            </w:pPr>
            <w:r>
              <w:rPr>
                <w:rFonts w:hint="eastAsia" w:ascii="宋体" w:hAnsi="宋体"/>
                <w:b/>
                <w:szCs w:val="21"/>
              </w:rPr>
              <w:t>……</w:t>
            </w:r>
          </w:p>
        </w:tc>
        <w:tc>
          <w:tcPr>
            <w:tcW w:w="4394" w:type="dxa"/>
            <w:vAlign w:val="center"/>
          </w:tcPr>
          <w:p>
            <w:pPr>
              <w:rPr>
                <w:rFonts w:ascii="宋体" w:hAnsi="宋体"/>
                <w:b/>
                <w:szCs w:val="21"/>
              </w:rPr>
            </w:pP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restart"/>
            <w:vAlign w:val="center"/>
          </w:tcPr>
          <w:p>
            <w:pPr>
              <w:rPr>
                <w:rFonts w:ascii="宋体" w:hAnsi="宋体"/>
                <w:szCs w:val="21"/>
              </w:rPr>
            </w:pPr>
            <w:r>
              <w:rPr>
                <w:rFonts w:hint="eastAsia" w:ascii="宋体" w:hAnsi="宋体"/>
                <w:szCs w:val="21"/>
              </w:rPr>
              <w:t>资格评审标准</w:t>
            </w:r>
          </w:p>
        </w:tc>
        <w:tc>
          <w:tcPr>
            <w:tcW w:w="2126" w:type="dxa"/>
            <w:vAlign w:val="center"/>
          </w:tcPr>
          <w:p>
            <w:pPr>
              <w:rPr>
                <w:rFonts w:ascii="宋体" w:hAnsi="宋体"/>
                <w:szCs w:val="21"/>
              </w:rPr>
            </w:pPr>
            <w:r>
              <w:rPr>
                <w:rFonts w:hint="eastAsia" w:ascii="宋体" w:hAnsi="宋体"/>
                <w:szCs w:val="21"/>
              </w:rPr>
              <w:t>营业执照</w:t>
            </w:r>
          </w:p>
        </w:tc>
        <w:tc>
          <w:tcPr>
            <w:tcW w:w="4394" w:type="dxa"/>
            <w:vAlign w:val="center"/>
          </w:tcPr>
          <w:p>
            <w:pPr>
              <w:rPr>
                <w:rFonts w:ascii="宋体" w:hAnsi="宋体"/>
                <w:szCs w:val="21"/>
              </w:rPr>
            </w:pPr>
            <w:r>
              <w:rPr>
                <w:rFonts w:hint="eastAsia" w:ascii="宋体" w:hAnsi="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安全生产许可证</w:t>
            </w:r>
          </w:p>
        </w:tc>
        <w:tc>
          <w:tcPr>
            <w:tcW w:w="4394" w:type="dxa"/>
            <w:vAlign w:val="center"/>
          </w:tcPr>
          <w:p>
            <w:pPr>
              <w:rPr>
                <w:rFonts w:ascii="宋体" w:hAnsi="宋体"/>
                <w:szCs w:val="21"/>
              </w:rPr>
            </w:pPr>
            <w:r>
              <w:rPr>
                <w:rFonts w:hint="eastAsia" w:ascii="宋体" w:hAnsi="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资质等级</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财务状况</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类似项目业绩</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信誉</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项目负责人</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其他要求</w:t>
            </w:r>
          </w:p>
        </w:tc>
        <w:tc>
          <w:tcPr>
            <w:tcW w:w="4394" w:type="dxa"/>
            <w:vAlign w:val="center"/>
          </w:tcPr>
          <w:p>
            <w:pPr>
              <w:rPr>
                <w:rFonts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b/>
                <w:szCs w:val="21"/>
              </w:rPr>
            </w:pPr>
            <w:r>
              <w:rPr>
                <w:rFonts w:hint="eastAsia" w:ascii="宋体" w:hAnsi="宋体"/>
                <w:b/>
                <w:szCs w:val="21"/>
              </w:rPr>
              <w:t>联合体投标人（如有）</w:t>
            </w:r>
          </w:p>
        </w:tc>
        <w:tc>
          <w:tcPr>
            <w:tcW w:w="4394" w:type="dxa"/>
            <w:vAlign w:val="center"/>
          </w:tcPr>
          <w:p>
            <w:pPr>
              <w:rPr>
                <w:rFonts w:ascii="宋体" w:hAnsi="宋体"/>
                <w:b/>
                <w:szCs w:val="21"/>
              </w:rPr>
            </w:pPr>
            <w:r>
              <w:rPr>
                <w:rFonts w:hint="eastAsia" w:ascii="宋体" w:hAnsi="宋体"/>
                <w:b/>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b/>
                <w:szCs w:val="21"/>
              </w:rPr>
            </w:pPr>
            <w:r>
              <w:rPr>
                <w:rFonts w:hint="eastAsia" w:ascii="宋体" w:hAnsi="宋体"/>
                <w:b/>
                <w:szCs w:val="21"/>
              </w:rPr>
              <w:t>……</w:t>
            </w:r>
          </w:p>
        </w:tc>
        <w:tc>
          <w:tcPr>
            <w:tcW w:w="4394" w:type="dxa"/>
            <w:vAlign w:val="center"/>
          </w:tcPr>
          <w:p>
            <w:pPr>
              <w:rPr>
                <w:rFonts w:ascii="宋体" w:hAnsi="宋体"/>
                <w:b/>
                <w:szCs w:val="21"/>
              </w:rPr>
            </w:pP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restart"/>
            <w:vAlign w:val="center"/>
          </w:tcPr>
          <w:p>
            <w:pPr>
              <w:rPr>
                <w:rFonts w:ascii="宋体" w:hAnsi="宋体"/>
                <w:szCs w:val="21"/>
              </w:rPr>
            </w:pPr>
            <w:r>
              <w:rPr>
                <w:rFonts w:hint="eastAsia" w:ascii="宋体" w:hAnsi="宋体"/>
                <w:szCs w:val="21"/>
              </w:rPr>
              <w:t>响应性评审标准</w:t>
            </w:r>
          </w:p>
        </w:tc>
        <w:tc>
          <w:tcPr>
            <w:tcW w:w="2126" w:type="dxa"/>
            <w:vAlign w:val="center"/>
          </w:tcPr>
          <w:p>
            <w:pPr>
              <w:rPr>
                <w:rFonts w:ascii="宋体" w:hAnsi="宋体"/>
                <w:szCs w:val="21"/>
              </w:rPr>
            </w:pPr>
            <w:r>
              <w:rPr>
                <w:rFonts w:hint="eastAsia" w:ascii="宋体" w:hAnsi="宋体"/>
                <w:szCs w:val="21"/>
              </w:rPr>
              <w:t>投标内容</w:t>
            </w:r>
          </w:p>
        </w:tc>
        <w:tc>
          <w:tcPr>
            <w:tcW w:w="4394" w:type="dxa"/>
            <w:vAlign w:val="center"/>
          </w:tcPr>
          <w:p>
            <w:pPr>
              <w:rPr>
                <w:rFonts w:ascii="宋体" w:hAnsi="宋体"/>
                <w:szCs w:val="21"/>
              </w:rPr>
            </w:pPr>
            <w:r>
              <w:rPr>
                <w:rFonts w:hint="eastAsia" w:ascii="宋体" w:hAnsi="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工期</w:t>
            </w:r>
          </w:p>
        </w:tc>
        <w:tc>
          <w:tcPr>
            <w:tcW w:w="4394" w:type="dxa"/>
            <w:vAlign w:val="center"/>
          </w:tcPr>
          <w:p>
            <w:pPr>
              <w:rPr>
                <w:rFonts w:ascii="宋体" w:hAnsi="宋体"/>
                <w:szCs w:val="21"/>
              </w:rPr>
            </w:pPr>
            <w:r>
              <w:rPr>
                <w:rFonts w:hint="eastAsia" w:ascii="宋体" w:hAnsi="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工程质量</w:t>
            </w:r>
          </w:p>
        </w:tc>
        <w:tc>
          <w:tcPr>
            <w:tcW w:w="4394" w:type="dxa"/>
            <w:vAlign w:val="center"/>
          </w:tcPr>
          <w:p>
            <w:pPr>
              <w:rPr>
                <w:rFonts w:ascii="宋体" w:hAnsi="宋体"/>
                <w:szCs w:val="21"/>
              </w:rPr>
            </w:pPr>
            <w:r>
              <w:rPr>
                <w:rFonts w:hint="eastAsia" w:ascii="宋体" w:hAnsi="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投标有效期</w:t>
            </w:r>
          </w:p>
        </w:tc>
        <w:tc>
          <w:tcPr>
            <w:tcW w:w="4394" w:type="dxa"/>
            <w:vAlign w:val="center"/>
          </w:tcPr>
          <w:p>
            <w:pPr>
              <w:rPr>
                <w:rFonts w:ascii="宋体" w:hAnsi="宋体"/>
                <w:szCs w:val="21"/>
              </w:rPr>
            </w:pPr>
            <w:r>
              <w:rPr>
                <w:rFonts w:hint="eastAsia" w:ascii="宋体" w:hAnsi="宋体"/>
                <w:szCs w:val="21"/>
              </w:rPr>
              <w:t>符合第二章“投标人须知”第3.3项规定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投标保证金</w:t>
            </w:r>
          </w:p>
        </w:tc>
        <w:tc>
          <w:tcPr>
            <w:tcW w:w="4394" w:type="dxa"/>
            <w:vAlign w:val="center"/>
          </w:tcPr>
          <w:p>
            <w:pPr>
              <w:rPr>
                <w:rFonts w:ascii="宋体" w:hAnsi="宋体"/>
                <w:szCs w:val="21"/>
              </w:rPr>
            </w:pPr>
            <w:r>
              <w:rPr>
                <w:rFonts w:hint="eastAsia" w:ascii="宋体" w:hAnsi="宋体"/>
                <w:szCs w:val="21"/>
              </w:rPr>
              <w:t>符合第二章“投标人须知”第3.4项规定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权利义务</w:t>
            </w:r>
          </w:p>
        </w:tc>
        <w:tc>
          <w:tcPr>
            <w:tcW w:w="4394" w:type="dxa"/>
            <w:vAlign w:val="center"/>
          </w:tcPr>
          <w:p>
            <w:pPr>
              <w:rPr>
                <w:rFonts w:ascii="宋体" w:hAnsi="宋体"/>
                <w:szCs w:val="21"/>
              </w:rPr>
            </w:pPr>
            <w:r>
              <w:rPr>
                <w:rFonts w:hint="eastAsia" w:ascii="宋体" w:hAnsi="宋体"/>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已标价工程量清单</w:t>
            </w:r>
          </w:p>
        </w:tc>
        <w:tc>
          <w:tcPr>
            <w:tcW w:w="4394" w:type="dxa"/>
            <w:vAlign w:val="center"/>
          </w:tcPr>
          <w:p>
            <w:pPr>
              <w:rPr>
                <w:rFonts w:ascii="宋体" w:hAnsi="宋体"/>
                <w:szCs w:val="21"/>
              </w:rPr>
            </w:pPr>
            <w:r>
              <w:rPr>
                <w:rFonts w:hint="eastAsia" w:ascii="宋体" w:hAnsi="宋体"/>
                <w:szCs w:val="21"/>
              </w:rPr>
              <w:t>符合第五章“工程量清单”给出的项目编码、项目名称、项目特征、计量单位和工程数量。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技术标准和要求</w:t>
            </w:r>
          </w:p>
        </w:tc>
        <w:tc>
          <w:tcPr>
            <w:tcW w:w="4394" w:type="dxa"/>
            <w:vAlign w:val="center"/>
          </w:tcPr>
          <w:p>
            <w:pPr>
              <w:rPr>
                <w:rFonts w:ascii="宋体" w:hAnsi="宋体"/>
                <w:szCs w:val="21"/>
              </w:rPr>
            </w:pPr>
            <w:r>
              <w:rPr>
                <w:rFonts w:hint="eastAsia" w:ascii="宋体" w:hAnsi="宋体"/>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Merge w:val="restart"/>
            <w:vAlign w:val="center"/>
          </w:tcPr>
          <w:p>
            <w:pPr>
              <w:rPr>
                <w:rFonts w:ascii="宋体" w:hAnsi="宋体"/>
                <w:szCs w:val="21"/>
              </w:rPr>
            </w:pPr>
            <w:r>
              <w:rPr>
                <w:rFonts w:hint="eastAsia" w:ascii="宋体" w:hAnsi="宋体"/>
                <w:szCs w:val="21"/>
              </w:rPr>
              <w:t>投标价格</w:t>
            </w:r>
          </w:p>
        </w:tc>
        <w:tc>
          <w:tcPr>
            <w:tcW w:w="4394" w:type="dxa"/>
            <w:vAlign w:val="center"/>
          </w:tcPr>
          <w:p>
            <w:pPr>
              <w:ind w:firstLine="315" w:firstLineChars="150"/>
              <w:rPr>
                <w:rFonts w:ascii="宋体" w:hAnsi="宋体"/>
                <w:szCs w:val="21"/>
              </w:rPr>
            </w:pPr>
            <w:r>
              <w:rPr>
                <w:rFonts w:hint="eastAsia" w:ascii="宋体" w:hAnsi="宋体"/>
                <w:szCs w:val="21"/>
              </w:rPr>
              <w:t xml:space="preserve"> 投标报价低于（含等于）第二章投标人须知前附表第1.2.3款载明的招标控制价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Merge w:val="continue"/>
            <w:vAlign w:val="center"/>
          </w:tcPr>
          <w:p>
            <w:pPr>
              <w:rPr>
                <w:rFonts w:ascii="宋体" w:hAnsi="宋体"/>
                <w:szCs w:val="21"/>
              </w:rPr>
            </w:pPr>
          </w:p>
        </w:tc>
        <w:tc>
          <w:tcPr>
            <w:tcW w:w="4394" w:type="dxa"/>
            <w:vAlign w:val="center"/>
          </w:tcPr>
          <w:p>
            <w:pPr>
              <w:ind w:firstLine="420" w:firstLineChars="200"/>
              <w:rPr>
                <w:rFonts w:ascii="宋体" w:hAnsi="宋体"/>
                <w:szCs w:val="21"/>
              </w:rPr>
            </w:pPr>
            <w:r>
              <w:rPr>
                <w:rFonts w:hint="eastAsia" w:ascii="宋体" w:hAnsi="宋体"/>
                <w:szCs w:val="21"/>
              </w:rPr>
              <w:t>纳入投标价格中的暂估价、暂列金额等非竞争性费用金额与招标文件的规定一致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Merge w:val="continue"/>
            <w:vAlign w:val="center"/>
          </w:tcPr>
          <w:p>
            <w:pPr>
              <w:rPr>
                <w:rFonts w:ascii="宋体" w:hAnsi="宋体"/>
                <w:szCs w:val="21"/>
              </w:rPr>
            </w:pPr>
          </w:p>
        </w:tc>
        <w:tc>
          <w:tcPr>
            <w:tcW w:w="4394" w:type="dxa"/>
            <w:vAlign w:val="center"/>
          </w:tcPr>
          <w:p>
            <w:pPr>
              <w:pStyle w:val="15"/>
              <w:ind w:firstLine="420" w:firstLineChars="200"/>
              <w:jc w:val="both"/>
            </w:pPr>
            <w:r>
              <w:rPr>
                <w:rFonts w:hint="eastAsia"/>
              </w:rPr>
              <w:t>投标人的措施项目报价与其技术标投标文件所采用的施工方案相符</w:t>
            </w:r>
            <w:r>
              <w:rPr>
                <w:rFonts w:hint="eastAsia"/>
                <w:color w:val="FF0000"/>
              </w:rPr>
              <w:t>且不得高于招标控制价中的措施项目费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Merge w:val="continue"/>
            <w:vAlign w:val="center"/>
          </w:tcPr>
          <w:p>
            <w:pPr>
              <w:rPr>
                <w:rFonts w:ascii="宋体" w:hAnsi="宋体"/>
                <w:szCs w:val="21"/>
              </w:rPr>
            </w:pPr>
          </w:p>
        </w:tc>
        <w:tc>
          <w:tcPr>
            <w:tcW w:w="4394" w:type="dxa"/>
            <w:vAlign w:val="center"/>
          </w:tcPr>
          <w:p>
            <w:pPr>
              <w:ind w:firstLine="420" w:firstLineChars="200"/>
              <w:rPr>
                <w:rFonts w:ascii="宋体" w:hAnsi="宋体"/>
                <w:szCs w:val="21"/>
              </w:rPr>
            </w:pPr>
            <w:r>
              <w:rPr>
                <w:rFonts w:hint="eastAsia" w:ascii="宋体" w:hAnsi="宋体"/>
                <w:szCs w:val="21"/>
              </w:rPr>
              <w:t xml:space="preserve">人工单价不低于省市建设行政主管部门发布的定额人工最低工日单价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Merge w:val="continue"/>
            <w:vAlign w:val="center"/>
          </w:tcPr>
          <w:p>
            <w:pPr>
              <w:rPr>
                <w:rFonts w:ascii="宋体" w:hAnsi="宋体"/>
                <w:szCs w:val="21"/>
              </w:rPr>
            </w:pPr>
          </w:p>
        </w:tc>
        <w:tc>
          <w:tcPr>
            <w:tcW w:w="4394" w:type="dxa"/>
            <w:vAlign w:val="center"/>
          </w:tcPr>
          <w:p>
            <w:pPr>
              <w:ind w:firstLine="420" w:firstLineChars="200"/>
              <w:rPr>
                <w:rFonts w:ascii="宋体" w:hAnsi="宋体"/>
                <w:szCs w:val="21"/>
              </w:rPr>
            </w:pPr>
            <w:r>
              <w:rPr>
                <w:rFonts w:hint="eastAsia" w:ascii="宋体" w:hAnsi="宋体"/>
                <w:szCs w:val="21"/>
              </w:rPr>
              <w:t>规费（包括安全文明施工费用）、税金按国家、省、市有关规定计取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分包计划</w:t>
            </w:r>
          </w:p>
        </w:tc>
        <w:tc>
          <w:tcPr>
            <w:tcW w:w="4394" w:type="dxa"/>
            <w:vAlign w:val="center"/>
          </w:tcPr>
          <w:p>
            <w:pPr>
              <w:ind w:firstLine="420" w:firstLineChars="200"/>
              <w:rPr>
                <w:rFonts w:ascii="宋体" w:hAnsi="宋体"/>
                <w:szCs w:val="21"/>
              </w:rPr>
            </w:pPr>
            <w:r>
              <w:rPr>
                <w:rFonts w:hint="eastAsia" w:ascii="宋体" w:hAnsi="宋体"/>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7" w:type="dxa"/>
            <w:vMerge w:val="continue"/>
            <w:vAlign w:val="center"/>
          </w:tcPr>
          <w:p>
            <w:pPr>
              <w:rPr>
                <w:rFonts w:ascii="宋体" w:hAnsi="宋体"/>
                <w:szCs w:val="21"/>
              </w:rPr>
            </w:pPr>
          </w:p>
        </w:tc>
        <w:tc>
          <w:tcPr>
            <w:tcW w:w="2126" w:type="dxa"/>
            <w:vAlign w:val="center"/>
          </w:tcPr>
          <w:p>
            <w:pPr>
              <w:rPr>
                <w:rFonts w:ascii="宋体" w:hAnsi="宋体"/>
                <w:szCs w:val="21"/>
              </w:rPr>
            </w:pPr>
            <w:r>
              <w:rPr>
                <w:rFonts w:hint="eastAsia" w:ascii="宋体" w:hAnsi="宋体"/>
                <w:szCs w:val="21"/>
              </w:rPr>
              <w:t>……</w:t>
            </w:r>
          </w:p>
        </w:tc>
        <w:tc>
          <w:tcPr>
            <w:tcW w:w="439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2"/>
            <w:vAlign w:val="center"/>
          </w:tcPr>
          <w:p>
            <w:pPr>
              <w:jc w:val="center"/>
              <w:rPr>
                <w:rFonts w:ascii="宋体" w:hAnsi="宋体"/>
                <w:szCs w:val="21"/>
              </w:rPr>
            </w:pPr>
            <w:r>
              <w:rPr>
                <w:rFonts w:hint="eastAsia" w:ascii="宋体" w:hAnsi="宋体"/>
                <w:szCs w:val="21"/>
              </w:rPr>
              <w:t>条款内容</w:t>
            </w:r>
          </w:p>
        </w:tc>
        <w:tc>
          <w:tcPr>
            <w:tcW w:w="4394" w:type="dxa"/>
            <w:vAlign w:val="center"/>
          </w:tcPr>
          <w:p>
            <w:pPr>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2"/>
            <w:vAlign w:val="center"/>
          </w:tcPr>
          <w:p>
            <w:pPr>
              <w:jc w:val="center"/>
              <w:rPr>
                <w:rFonts w:ascii="宋体" w:hAnsi="宋体"/>
                <w:szCs w:val="21"/>
              </w:rPr>
            </w:pPr>
            <w:r>
              <w:rPr>
                <w:rFonts w:hint="eastAsia" w:ascii="宋体" w:hAnsi="宋体"/>
                <w:szCs w:val="21"/>
              </w:rPr>
              <w:t>评审标准</w:t>
            </w:r>
          </w:p>
        </w:tc>
        <w:tc>
          <w:tcPr>
            <w:tcW w:w="4394" w:type="dxa"/>
            <w:vAlign w:val="center"/>
          </w:tcPr>
          <w:p>
            <w:pPr>
              <w:rPr>
                <w:rFonts w:ascii="宋体" w:hAnsi="宋体"/>
                <w:szCs w:val="21"/>
              </w:rPr>
            </w:pPr>
            <w:r>
              <w:rPr>
                <w:rFonts w:hint="eastAsia" w:ascii="宋体" w:hAnsi="宋体"/>
                <w:szCs w:val="21"/>
              </w:rPr>
              <w:t>详见本章附件：评审标准</w:t>
            </w:r>
          </w:p>
        </w:tc>
      </w:tr>
    </w:tbl>
    <w:p>
      <w:pPr>
        <w:spacing w:line="400" w:lineRule="exact"/>
        <w:rPr>
          <w:rFonts w:ascii="宋体" w:hAnsi="宋体"/>
          <w:b/>
          <w:sz w:val="24"/>
          <w:highlight w:val="yellow"/>
          <w:u w:val="single"/>
        </w:rPr>
      </w:pPr>
      <w:r>
        <w:rPr>
          <w:rFonts w:hint="eastAsia" w:ascii="宋体" w:hAnsi="宋体"/>
          <w:b/>
          <w:sz w:val="24"/>
          <w:highlight w:val="yellow"/>
          <w:u w:val="single"/>
        </w:rPr>
        <w:t>注：1、在资格评审中，评标委员会将验证：</w:t>
      </w:r>
      <w:r>
        <w:rPr>
          <w:rFonts w:hint="eastAsia" w:ascii="宋体" w:hAnsi="宋体"/>
          <w:b/>
          <w:sz w:val="24"/>
          <w:highlight w:val="green"/>
          <w:u w:val="single"/>
        </w:rPr>
        <w:t>营业执照、资质证书、安全生产许可证、资质证书、拟选派项目负责人注册证书和安全生产考核合格证书（B证）等原件扫描件或电子证书打印件的扫描件（打印件上注明查询网址）。</w:t>
      </w:r>
    </w:p>
    <w:p>
      <w:pPr>
        <w:spacing w:line="400" w:lineRule="exact"/>
        <w:ind w:firstLine="482" w:firstLineChars="200"/>
        <w:rPr>
          <w:rFonts w:ascii="宋体" w:hAnsi="宋体"/>
          <w:b/>
          <w:sz w:val="24"/>
          <w:u w:val="single"/>
        </w:rPr>
      </w:pPr>
      <w:r>
        <w:rPr>
          <w:rFonts w:hint="eastAsia" w:ascii="宋体" w:hAnsi="宋体"/>
          <w:b/>
          <w:sz w:val="24"/>
          <w:highlight w:val="yellow"/>
          <w:u w:val="single"/>
        </w:rPr>
        <w:t>具体操作详见投标人须知前附表5.2“投标企业及人员证件业绩的提交”。</w:t>
      </w: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ind w:firstLine="420" w:firstLineChars="200"/>
        <w:rPr>
          <w:rFonts w:ascii="宋体" w:hAnsi="宋体"/>
          <w:color w:val="0070C0"/>
          <w:szCs w:val="21"/>
        </w:rPr>
      </w:pPr>
    </w:p>
    <w:p>
      <w:pPr>
        <w:pStyle w:val="66"/>
        <w:spacing w:before="120" w:after="240" w:line="360" w:lineRule="exact"/>
        <w:ind w:firstLine="140" w:firstLineChars="50"/>
      </w:pPr>
      <w:bookmarkStart w:id="203" w:name="_Toc312072284"/>
      <w:r>
        <w:rPr>
          <w:rFonts w:hint="eastAsia"/>
        </w:rPr>
        <w:t>附件：评审标准</w:t>
      </w:r>
      <w:bookmarkEnd w:id="203"/>
    </w:p>
    <w:p>
      <w:pPr>
        <w:snapToGrid w:val="0"/>
        <w:spacing w:afterLines="50"/>
        <w:ind w:hanging="17"/>
        <w:jc w:val="center"/>
        <w:rPr>
          <w:rFonts w:ascii="宋体" w:hAnsi="宋体"/>
          <w:b/>
          <w:sz w:val="32"/>
          <w:szCs w:val="32"/>
        </w:rPr>
      </w:pPr>
      <w:r>
        <w:rPr>
          <w:rFonts w:hint="eastAsia" w:ascii="宋体" w:hAnsi="宋体"/>
          <w:b/>
          <w:sz w:val="32"/>
          <w:szCs w:val="32"/>
        </w:rPr>
        <w:t>（一）技术标评审标准</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2428"/>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7" w:type="pct"/>
            <w:gridSpan w:val="2"/>
            <w:tcBorders>
              <w:top w:val="single" w:color="auto" w:sz="4" w:space="0"/>
              <w:left w:val="single" w:color="auto" w:sz="4" w:space="0"/>
              <w:bottom w:val="single" w:color="auto" w:sz="4" w:space="0"/>
            </w:tcBorders>
            <w:vAlign w:val="center"/>
          </w:tcPr>
          <w:p>
            <w:pPr>
              <w:jc w:val="center"/>
              <w:rPr>
                <w:rFonts w:ascii="宋体" w:hAnsi="宋体"/>
                <w:b/>
                <w:sz w:val="28"/>
                <w:szCs w:val="28"/>
              </w:rPr>
            </w:pPr>
            <w:r>
              <w:rPr>
                <w:rFonts w:hint="eastAsia" w:ascii="宋体" w:hAnsi="宋体"/>
                <w:b/>
                <w:sz w:val="28"/>
                <w:szCs w:val="28"/>
              </w:rPr>
              <w:t>项 目</w:t>
            </w:r>
          </w:p>
        </w:tc>
        <w:tc>
          <w:tcPr>
            <w:tcW w:w="3063" w:type="pct"/>
            <w:tcBorders>
              <w:top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restart"/>
            <w:tcBorders>
              <w:top w:val="single" w:color="auto" w:sz="4" w:space="0"/>
              <w:left w:val="single" w:color="auto" w:sz="4" w:space="0"/>
            </w:tcBorders>
            <w:vAlign w:val="center"/>
          </w:tcPr>
          <w:p>
            <w:pPr>
              <w:snapToGrid w:val="0"/>
              <w:jc w:val="center"/>
              <w:rPr>
                <w:rFonts w:ascii="宋体" w:hAnsi="宋体"/>
                <w:szCs w:val="21"/>
              </w:rPr>
            </w:pPr>
            <w:r>
              <w:rPr>
                <w:rFonts w:hint="eastAsia" w:ascii="宋体" w:hAnsi="宋体"/>
                <w:szCs w:val="21"/>
              </w:rPr>
              <w:t>技术标施工组织设计</w:t>
            </w:r>
          </w:p>
          <w:p>
            <w:pPr>
              <w:snapToGrid w:val="0"/>
              <w:jc w:val="center"/>
              <w:rPr>
                <w:rFonts w:ascii="宋体" w:hAnsi="宋体"/>
                <w:szCs w:val="21"/>
              </w:rPr>
            </w:pPr>
          </w:p>
        </w:tc>
        <w:tc>
          <w:tcPr>
            <w:tcW w:w="1303" w:type="pct"/>
            <w:tcBorders>
              <w:top w:val="single" w:color="auto" w:sz="4" w:space="0"/>
              <w:left w:val="single" w:color="auto" w:sz="4" w:space="0"/>
            </w:tcBorders>
            <w:vAlign w:val="center"/>
          </w:tcPr>
          <w:p>
            <w:pPr>
              <w:snapToGrid w:val="0"/>
              <w:jc w:val="left"/>
              <w:rPr>
                <w:rFonts w:ascii="宋体" w:hAnsi="宋体"/>
                <w:szCs w:val="21"/>
              </w:rPr>
            </w:pPr>
            <w:r>
              <w:rPr>
                <w:rFonts w:hint="eastAsia" w:ascii="宋体" w:hAnsi="宋体"/>
                <w:szCs w:val="21"/>
              </w:rPr>
              <w:t>1.总体概述</w:t>
            </w:r>
          </w:p>
        </w:tc>
        <w:tc>
          <w:tcPr>
            <w:tcW w:w="3063" w:type="pct"/>
            <w:tcBorders>
              <w:top w:val="single" w:color="auto" w:sz="4" w:space="0"/>
              <w:right w:val="single" w:color="auto" w:sz="4" w:space="0"/>
            </w:tcBorders>
            <w:vAlign w:val="center"/>
          </w:tcPr>
          <w:p>
            <w:pPr>
              <w:snapToGrid w:val="0"/>
              <w:rPr>
                <w:rFonts w:ascii="宋体" w:hAnsi="宋体"/>
                <w:szCs w:val="21"/>
              </w:rPr>
            </w:pPr>
            <w:r>
              <w:rPr>
                <w:rFonts w:hint="eastAsia" w:ascii="宋体" w:hAnsi="宋体"/>
                <w:szCs w:val="21"/>
              </w:rPr>
              <w:t>对工程整体的认识表述完整清晰程度，措施先进、具体程度，施工段划分清晰、合理符合规范要求。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tcBorders>
              <w:top w:val="single" w:color="auto" w:sz="4" w:space="0"/>
              <w:left w:val="single" w:color="auto" w:sz="4" w:space="0"/>
            </w:tcBorders>
            <w:vAlign w:val="center"/>
          </w:tcPr>
          <w:p>
            <w:pPr>
              <w:snapToGrid w:val="0"/>
              <w:jc w:val="left"/>
              <w:rPr>
                <w:rFonts w:ascii="宋体" w:hAnsi="宋体"/>
                <w:szCs w:val="21"/>
              </w:rPr>
            </w:pPr>
            <w:r>
              <w:rPr>
                <w:rFonts w:hint="eastAsia" w:ascii="宋体" w:hAnsi="宋体"/>
                <w:szCs w:val="21"/>
              </w:rPr>
              <w:t>2.施工现场布置</w:t>
            </w:r>
          </w:p>
        </w:tc>
        <w:tc>
          <w:tcPr>
            <w:tcW w:w="3063" w:type="pct"/>
            <w:tcBorders>
              <w:top w:val="single" w:color="auto" w:sz="4" w:space="0"/>
              <w:right w:val="single" w:color="auto" w:sz="4" w:space="0"/>
            </w:tcBorders>
            <w:vAlign w:val="center"/>
          </w:tcPr>
          <w:p>
            <w:pPr>
              <w:snapToGrid w:val="0"/>
              <w:rPr>
                <w:rFonts w:ascii="宋体" w:hAnsi="宋体"/>
                <w:szCs w:val="21"/>
              </w:rPr>
            </w:pPr>
            <w:r>
              <w:rPr>
                <w:rFonts w:hint="eastAsia" w:ascii="宋体" w:hAnsi="宋体"/>
                <w:szCs w:val="21"/>
              </w:rPr>
              <w:t>施工现场平面布置和临时设备、临时道路设置内容齐全、具体、合理、符合安全文明生产要求，满足施工需要。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tcBorders>
              <w:top w:val="single" w:color="auto" w:sz="4" w:space="0"/>
              <w:left w:val="single" w:color="auto" w:sz="4" w:space="0"/>
            </w:tcBorders>
            <w:vAlign w:val="center"/>
          </w:tcPr>
          <w:p>
            <w:pPr>
              <w:snapToGrid w:val="0"/>
              <w:jc w:val="left"/>
              <w:rPr>
                <w:rFonts w:ascii="宋体" w:hAnsi="宋体"/>
                <w:szCs w:val="21"/>
              </w:rPr>
            </w:pPr>
            <w:r>
              <w:rPr>
                <w:rFonts w:hint="eastAsia" w:ascii="宋体" w:hAnsi="宋体"/>
                <w:szCs w:val="21"/>
              </w:rPr>
              <w:t>3.施工进度计划和进度保证措施</w:t>
            </w:r>
          </w:p>
        </w:tc>
        <w:tc>
          <w:tcPr>
            <w:tcW w:w="3063" w:type="pct"/>
            <w:tcBorders>
              <w:top w:val="single" w:color="auto" w:sz="4" w:space="0"/>
              <w:right w:val="single" w:color="auto" w:sz="4" w:space="0"/>
            </w:tcBorders>
            <w:vAlign w:val="center"/>
          </w:tcPr>
          <w:p>
            <w:pPr>
              <w:snapToGrid w:val="0"/>
              <w:rPr>
                <w:rFonts w:ascii="宋体" w:hAnsi="宋体"/>
                <w:szCs w:val="21"/>
              </w:rPr>
            </w:pPr>
            <w:r>
              <w:rPr>
                <w:rFonts w:hint="eastAsia" w:ascii="宋体" w:hAnsi="宋体"/>
                <w:szCs w:val="21"/>
              </w:rPr>
              <w:t>（1</w:t>
            </w:r>
            <w:r>
              <w:rPr>
                <w:rFonts w:hint="eastAsia" w:ascii="宋体" w:hAnsi="宋体"/>
                <w:b/>
                <w:szCs w:val="21"/>
              </w:rPr>
              <w:t>）所报工期符合招标文件要求，否则投标无效。</w:t>
            </w:r>
          </w:p>
          <w:p>
            <w:pPr>
              <w:snapToGrid w:val="0"/>
              <w:rPr>
                <w:rFonts w:ascii="宋体" w:hAnsi="宋体"/>
                <w:szCs w:val="21"/>
              </w:rPr>
            </w:pPr>
            <w:r>
              <w:rPr>
                <w:rFonts w:hint="eastAsia" w:ascii="宋体" w:hAnsi="宋体"/>
                <w:szCs w:val="21"/>
              </w:rPr>
              <w:t>（2）网络计划（横道图）编排合理、可行，关键路线清晰、准确。</w:t>
            </w:r>
          </w:p>
          <w:p>
            <w:pPr>
              <w:snapToGrid w:val="0"/>
              <w:rPr>
                <w:rFonts w:ascii="宋体" w:hAnsi="宋体"/>
                <w:szCs w:val="21"/>
              </w:rPr>
            </w:pPr>
            <w:r>
              <w:rPr>
                <w:rFonts w:hint="eastAsia" w:ascii="宋体" w:hAnsi="宋体"/>
                <w:szCs w:val="21"/>
              </w:rPr>
              <w:t>（3）进度保证措施可靠，措施具体可行，农忙保勤措施可信、可行。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tcBorders>
              <w:top w:val="single" w:color="auto" w:sz="4" w:space="0"/>
              <w:left w:val="single" w:color="auto" w:sz="4" w:space="0"/>
            </w:tcBorders>
            <w:vAlign w:val="center"/>
          </w:tcPr>
          <w:p>
            <w:pPr>
              <w:snapToGrid w:val="0"/>
              <w:jc w:val="left"/>
              <w:rPr>
                <w:rFonts w:ascii="宋体" w:hAnsi="宋体"/>
                <w:szCs w:val="21"/>
              </w:rPr>
            </w:pPr>
            <w:r>
              <w:rPr>
                <w:rFonts w:hint="eastAsia" w:ascii="宋体" w:hAnsi="宋体"/>
                <w:szCs w:val="21"/>
              </w:rPr>
              <w:t>4.施工方案和质量保证</w:t>
            </w:r>
          </w:p>
        </w:tc>
        <w:tc>
          <w:tcPr>
            <w:tcW w:w="3063" w:type="pct"/>
            <w:tcBorders>
              <w:top w:val="single" w:color="auto" w:sz="4" w:space="0"/>
              <w:right w:val="single" w:color="auto" w:sz="4" w:space="0"/>
            </w:tcBorders>
            <w:vAlign w:val="center"/>
          </w:tcPr>
          <w:p>
            <w:pPr>
              <w:snapToGrid w:val="0"/>
              <w:rPr>
                <w:rFonts w:ascii="宋体" w:hAnsi="宋体"/>
                <w:b/>
                <w:szCs w:val="21"/>
              </w:rPr>
            </w:pPr>
            <w:r>
              <w:rPr>
                <w:rFonts w:hint="eastAsia" w:ascii="宋体" w:hAnsi="宋体"/>
                <w:b/>
                <w:szCs w:val="21"/>
              </w:rPr>
              <w:t>（1）所报质量等级必须符合招标文件要求，否则投标无效。</w:t>
            </w:r>
          </w:p>
          <w:p>
            <w:pPr>
              <w:snapToGrid w:val="0"/>
              <w:rPr>
                <w:rFonts w:ascii="宋体" w:hAnsi="宋体"/>
                <w:szCs w:val="21"/>
              </w:rPr>
            </w:pPr>
            <w:r>
              <w:rPr>
                <w:rFonts w:hint="eastAsia" w:ascii="宋体" w:hAnsi="宋体"/>
                <w:szCs w:val="21"/>
              </w:rPr>
              <w:t>（2）各分部分项工程的施工方案和质量保证措施完整、先进、可行、具体。</w:t>
            </w:r>
          </w:p>
          <w:p>
            <w:pPr>
              <w:snapToGrid w:val="0"/>
              <w:rPr>
                <w:rFonts w:ascii="宋体" w:hAnsi="宋体"/>
                <w:szCs w:val="21"/>
              </w:rPr>
            </w:pPr>
            <w:r>
              <w:rPr>
                <w:rFonts w:hint="eastAsia" w:ascii="宋体" w:hAnsi="宋体"/>
                <w:szCs w:val="21"/>
              </w:rPr>
              <w:t>（3）针对本项目的通病治理措施具体、完善。</w:t>
            </w:r>
          </w:p>
          <w:p>
            <w:pPr>
              <w:snapToGrid w:val="0"/>
              <w:rPr>
                <w:rFonts w:ascii="宋体" w:hAnsi="宋体"/>
                <w:szCs w:val="21"/>
              </w:rPr>
            </w:pPr>
            <w:r>
              <w:rPr>
                <w:rFonts w:hint="eastAsia" w:ascii="宋体" w:hAnsi="宋体"/>
                <w:szCs w:val="21"/>
              </w:rPr>
              <w:t>（4）已完工程保护措施完善。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5.安全文明施工和环境保护措施</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（1）针对本项目安全文明施工措施和应急救援预案（防洪、防火、防触电、防坠落、防倒塌等），措施齐全、预案可行。</w:t>
            </w:r>
          </w:p>
          <w:p>
            <w:pPr>
              <w:snapToGrid w:val="0"/>
              <w:rPr>
                <w:rFonts w:ascii="宋体" w:hAnsi="宋体"/>
                <w:szCs w:val="21"/>
              </w:rPr>
            </w:pPr>
            <w:r>
              <w:rPr>
                <w:rFonts w:hint="eastAsia" w:ascii="宋体" w:hAnsi="宋体"/>
                <w:szCs w:val="21"/>
              </w:rPr>
              <w:t>（2）安全生产体系完整、制度健全。</w:t>
            </w:r>
          </w:p>
          <w:p>
            <w:pPr>
              <w:snapToGrid w:val="0"/>
              <w:rPr>
                <w:rFonts w:ascii="宋体" w:hAnsi="宋体"/>
                <w:color w:val="FF0000"/>
                <w:szCs w:val="21"/>
              </w:rPr>
            </w:pPr>
            <w:r>
              <w:rPr>
                <w:rFonts w:hint="eastAsia" w:ascii="宋体" w:hAnsi="宋体"/>
                <w:szCs w:val="21"/>
              </w:rPr>
              <w:t>（3）环境保护措施齐全、具体、合理。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6.项目管理班子</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项目管理班子的人员岗位职责、分工齐全、具体、合理、明确。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7.劳动力、材料投入计划及保证措施、机械设备投入计划</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（1）投入计划与进度计划呼应，满足工程施工需要，投入计划合理准确。</w:t>
            </w:r>
          </w:p>
          <w:p>
            <w:pPr>
              <w:snapToGrid w:val="0"/>
              <w:rPr>
                <w:rFonts w:ascii="宋体" w:hAnsi="宋体"/>
                <w:color w:val="FF0000"/>
                <w:szCs w:val="21"/>
                <w:u w:val="single"/>
              </w:rPr>
            </w:pPr>
            <w:r>
              <w:rPr>
                <w:rFonts w:hint="eastAsia" w:ascii="宋体" w:hAnsi="宋体"/>
                <w:szCs w:val="21"/>
              </w:rPr>
              <w:t>（2）机械设备保养维护措施具体、完善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8.针对项目实际情况关键施工技术、工艺及工程项目实施的重点、难点分析和解决方案</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（1）对关键技术、工艺有表述深入。</w:t>
            </w:r>
          </w:p>
          <w:p>
            <w:pPr>
              <w:snapToGrid w:val="0"/>
              <w:rPr>
                <w:rFonts w:ascii="宋体" w:hAnsi="宋体"/>
                <w:szCs w:val="21"/>
              </w:rPr>
            </w:pPr>
            <w:r>
              <w:rPr>
                <w:rFonts w:hint="eastAsia" w:ascii="宋体" w:hAnsi="宋体"/>
                <w:szCs w:val="21"/>
              </w:rPr>
              <w:t>（2）对重点、难点分析解决方案完整、安全、经济、可行。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9.特殊情况下的施工</w:t>
            </w:r>
          </w:p>
          <w:p>
            <w:pPr>
              <w:snapToGrid w:val="0"/>
              <w:jc w:val="left"/>
              <w:rPr>
                <w:rFonts w:ascii="宋体" w:hAnsi="宋体"/>
                <w:szCs w:val="21"/>
              </w:rPr>
            </w:pPr>
            <w:r>
              <w:rPr>
                <w:rFonts w:hint="eastAsia" w:ascii="宋体" w:hAnsi="宋体"/>
                <w:szCs w:val="21"/>
              </w:rPr>
              <w:t>措施</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冬、雨季施工、已有设施和管线的加固、保护等特殊情况下的施工措施齐全、合理、可行。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10.质量治理要求</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绿色建筑、住宅工程质量治理要求编制具体、合理、可行。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11.新技术、新产品、新工艺、新材料应用</w:t>
            </w:r>
          </w:p>
        </w:tc>
        <w:tc>
          <w:tcPr>
            <w:tcW w:w="3063" w:type="pct"/>
            <w:tcBorders>
              <w:right w:val="single" w:color="auto" w:sz="4" w:space="0"/>
            </w:tcBorders>
            <w:vAlign w:val="center"/>
          </w:tcPr>
          <w:p>
            <w:pPr>
              <w:snapToGrid w:val="0"/>
              <w:rPr>
                <w:rFonts w:ascii="宋体" w:hAnsi="宋体"/>
                <w:szCs w:val="21"/>
              </w:rPr>
            </w:pPr>
            <w:r>
              <w:rPr>
                <w:rFonts w:hint="eastAsia" w:ascii="宋体" w:hAnsi="宋体"/>
                <w:szCs w:val="21"/>
              </w:rPr>
              <w:t>新技术、新产品、新工艺、新材料应用先进、合理、可行。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pct"/>
            <w:vMerge w:val="continue"/>
            <w:tcBorders>
              <w:left w:val="single" w:color="auto" w:sz="4" w:space="0"/>
            </w:tcBorders>
            <w:vAlign w:val="center"/>
          </w:tcPr>
          <w:p>
            <w:pPr>
              <w:snapToGrid w:val="0"/>
              <w:jc w:val="left"/>
              <w:rPr>
                <w:rFonts w:ascii="宋体" w:hAnsi="宋体"/>
                <w:szCs w:val="21"/>
              </w:rPr>
            </w:pPr>
          </w:p>
        </w:tc>
        <w:tc>
          <w:tcPr>
            <w:tcW w:w="1303" w:type="pct"/>
            <w:vAlign w:val="center"/>
          </w:tcPr>
          <w:p>
            <w:pPr>
              <w:snapToGrid w:val="0"/>
              <w:jc w:val="left"/>
              <w:rPr>
                <w:rFonts w:ascii="宋体" w:hAnsi="宋体"/>
                <w:szCs w:val="21"/>
              </w:rPr>
            </w:pPr>
            <w:r>
              <w:rPr>
                <w:rFonts w:hint="eastAsia" w:ascii="宋体" w:hAnsi="宋体"/>
                <w:szCs w:val="21"/>
              </w:rPr>
              <w:t>12.其他</w:t>
            </w:r>
          </w:p>
        </w:tc>
        <w:tc>
          <w:tcPr>
            <w:tcW w:w="3063" w:type="pct"/>
            <w:tcBorders>
              <w:right w:val="single" w:color="auto" w:sz="4" w:space="0"/>
            </w:tcBorders>
            <w:vAlign w:val="center"/>
          </w:tcPr>
          <w:p>
            <w:pPr>
              <w:snapToGrid w:val="0"/>
              <w:rPr>
                <w:rFonts w:ascii="宋体" w:hAnsi="宋体"/>
                <w:szCs w:val="21"/>
              </w:rPr>
            </w:pPr>
            <w:r>
              <w:rPr>
                <w:rFonts w:ascii="宋体" w:hAnsi="宋体"/>
                <w:szCs w:val="21"/>
              </w:rPr>
              <w:t>根据工程特点和实际情况，确属必要时从《省评标办法》技术标详细评审要点第（10）-（13）项选择列入，分值标准按照《省评标办法》规定执行。</w:t>
            </w:r>
          </w:p>
        </w:tc>
      </w:tr>
    </w:tbl>
    <w:p>
      <w:pPr>
        <w:snapToGrid w:val="0"/>
        <w:jc w:val="left"/>
        <w:rPr>
          <w:rFonts w:ascii="宋体" w:hAnsi="宋体"/>
          <w:szCs w:val="21"/>
        </w:rPr>
      </w:pPr>
      <w:r>
        <w:rPr>
          <w:rFonts w:hint="eastAsia" w:ascii="宋体" w:hAnsi="宋体"/>
          <w:b/>
          <w:szCs w:val="21"/>
        </w:rPr>
        <w:t>备注</w:t>
      </w:r>
    </w:p>
    <w:p>
      <w:pPr>
        <w:numPr>
          <w:ilvl w:val="0"/>
          <w:numId w:val="3"/>
        </w:numPr>
        <w:snapToGrid w:val="0"/>
        <w:jc w:val="left"/>
        <w:rPr>
          <w:rFonts w:ascii="宋体" w:hAnsi="宋体"/>
          <w:b/>
          <w:szCs w:val="21"/>
        </w:rPr>
      </w:pPr>
      <w:r>
        <w:rPr>
          <w:rFonts w:hint="eastAsia" w:ascii="宋体" w:hAnsi="宋体"/>
          <w:b/>
          <w:szCs w:val="21"/>
        </w:rPr>
        <w:t>技术标1～（ 7 ）中缺少三项及以上评审要点的，评标委员会可以视为其技术标不能满足工程施工需要。</w:t>
      </w:r>
    </w:p>
    <w:p>
      <w:pPr>
        <w:numPr>
          <w:ilvl w:val="0"/>
          <w:numId w:val="3"/>
        </w:numPr>
        <w:snapToGrid w:val="0"/>
        <w:jc w:val="left"/>
        <w:rPr>
          <w:rFonts w:ascii="宋体" w:hAnsi="宋体"/>
          <w:b/>
          <w:szCs w:val="21"/>
        </w:rPr>
      </w:pPr>
      <w:r>
        <w:rPr>
          <w:rFonts w:hint="eastAsia" w:ascii="宋体" w:hAnsi="宋体"/>
          <w:b/>
          <w:szCs w:val="21"/>
        </w:rPr>
        <w:t>技术标详细评审采用合格制法进行符合性评审。评标委员会对技术标的各项评审要点进行评审，并采用记名投票表决方式审定其技术标能否满足工程施工需要。合格票数不足三分之二的技术标视为不能满足工程施工需要，其投标人不得推荐为中标候选人。</w:t>
      </w:r>
    </w:p>
    <w:p>
      <w:pPr>
        <w:snapToGrid w:val="0"/>
        <w:spacing w:afterLines="50"/>
        <w:ind w:hanging="17"/>
        <w:jc w:val="center"/>
        <w:rPr>
          <w:rFonts w:ascii="宋体" w:hAnsi="宋体"/>
          <w:b/>
          <w:sz w:val="32"/>
          <w:szCs w:val="32"/>
        </w:rPr>
      </w:pPr>
    </w:p>
    <w:p>
      <w:pPr>
        <w:snapToGrid w:val="0"/>
        <w:spacing w:afterLines="50"/>
        <w:ind w:hanging="17"/>
        <w:jc w:val="center"/>
        <w:rPr>
          <w:rFonts w:ascii="宋体" w:hAnsi="宋体"/>
          <w:b/>
          <w:sz w:val="32"/>
          <w:szCs w:val="32"/>
        </w:rPr>
      </w:pPr>
      <w:r>
        <w:rPr>
          <w:rFonts w:hint="eastAsia" w:ascii="宋体" w:hAnsi="宋体"/>
          <w:b/>
          <w:sz w:val="32"/>
          <w:szCs w:val="32"/>
        </w:rPr>
        <w:t>（二）商务标评审标准</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pct"/>
            <w:vAlign w:val="center"/>
          </w:tcPr>
          <w:p>
            <w:pPr>
              <w:jc w:val="center"/>
              <w:rPr>
                <w:rFonts w:ascii="宋体" w:hAnsi="宋体"/>
                <w:b/>
                <w:sz w:val="28"/>
                <w:szCs w:val="28"/>
              </w:rPr>
            </w:pPr>
            <w:r>
              <w:rPr>
                <w:rFonts w:hint="eastAsia" w:ascii="宋体" w:hAnsi="宋体"/>
                <w:b/>
                <w:sz w:val="28"/>
                <w:szCs w:val="28"/>
              </w:rPr>
              <w:t>项目</w:t>
            </w:r>
          </w:p>
        </w:tc>
        <w:tc>
          <w:tcPr>
            <w:tcW w:w="3833" w:type="pct"/>
            <w:vAlign w:val="center"/>
          </w:tcPr>
          <w:p>
            <w:pPr>
              <w:jc w:val="center"/>
              <w:rPr>
                <w:rFonts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pct"/>
            <w:vAlign w:val="center"/>
          </w:tcPr>
          <w:p>
            <w:pPr>
              <w:rPr>
                <w:rFonts w:ascii="宋体" w:hAnsi="宋体"/>
                <w:szCs w:val="21"/>
              </w:rPr>
            </w:pPr>
            <w:r>
              <w:rPr>
                <w:rFonts w:hint="eastAsia" w:ascii="宋体" w:hAnsi="宋体"/>
                <w:szCs w:val="21"/>
              </w:rPr>
              <w:t>投标报价偏离值</w:t>
            </w:r>
          </w:p>
        </w:tc>
        <w:tc>
          <w:tcPr>
            <w:tcW w:w="3833" w:type="pct"/>
            <w:vAlign w:val="center"/>
          </w:tcPr>
          <w:p>
            <w:pPr>
              <w:spacing w:line="400" w:lineRule="exact"/>
              <w:rPr>
                <w:rFonts w:ascii="宋体" w:hAnsi="宋体"/>
                <w:szCs w:val="21"/>
              </w:rPr>
            </w:pPr>
            <w:r>
              <w:rPr>
                <w:rFonts w:hint="eastAsia" w:ascii="宋体" w:hAnsi="宋体"/>
                <w:szCs w:val="21"/>
              </w:rPr>
              <w:t>有效投标报价与评标基准价</w:t>
            </w:r>
            <w:r>
              <w:rPr>
                <w:rFonts w:ascii="宋体" w:hAnsi="宋体"/>
                <w:szCs w:val="21"/>
              </w:rPr>
              <w:t>C</w:t>
            </w:r>
            <w:r>
              <w:rPr>
                <w:rFonts w:hint="eastAsia" w:ascii="宋体" w:hAnsi="宋体"/>
                <w:szCs w:val="21"/>
              </w:rPr>
              <w:t>的差值（绝对值）为投标报价偏离值。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7" w:type="pct"/>
            <w:vAlign w:val="center"/>
          </w:tcPr>
          <w:p>
            <w:pPr>
              <w:spacing w:line="400" w:lineRule="exact"/>
              <w:rPr>
                <w:rFonts w:ascii="宋体" w:hAnsi="宋体"/>
                <w:szCs w:val="21"/>
              </w:rPr>
            </w:pPr>
            <w:r>
              <w:rPr>
                <w:rFonts w:hint="eastAsia" w:ascii="宋体" w:hAnsi="宋体"/>
                <w:szCs w:val="21"/>
              </w:rPr>
              <w:t>推荐中标候选人</w:t>
            </w:r>
          </w:p>
        </w:tc>
        <w:tc>
          <w:tcPr>
            <w:tcW w:w="3833" w:type="pct"/>
            <w:vAlign w:val="center"/>
          </w:tcPr>
          <w:p>
            <w:pPr>
              <w:spacing w:line="400" w:lineRule="exact"/>
              <w:rPr>
                <w:rFonts w:ascii="宋体" w:hAnsi="宋体"/>
                <w:szCs w:val="21"/>
              </w:rPr>
            </w:pPr>
            <w:r>
              <w:rPr>
                <w:rFonts w:hint="eastAsia" w:ascii="宋体" w:hAnsi="宋体"/>
                <w:szCs w:val="21"/>
              </w:rPr>
              <w:t>　（一）评标委员会按照投标人的投标报价偏离值由小到大依次推荐前</w:t>
            </w:r>
            <w:r>
              <w:rPr>
                <w:rFonts w:ascii="宋体" w:hAnsi="宋体"/>
                <w:szCs w:val="21"/>
              </w:rPr>
              <w:t>3</w:t>
            </w:r>
            <w:r>
              <w:rPr>
                <w:rFonts w:hint="eastAsia" w:ascii="宋体" w:hAnsi="宋体"/>
                <w:szCs w:val="21"/>
              </w:rPr>
              <w:t>名作为中标候选人。</w:t>
            </w:r>
          </w:p>
          <w:p>
            <w:pPr>
              <w:spacing w:line="400" w:lineRule="exact"/>
              <w:ind w:firstLine="210" w:firstLineChars="100"/>
              <w:rPr>
                <w:rFonts w:ascii="宋体" w:hAnsi="宋体"/>
                <w:szCs w:val="21"/>
              </w:rPr>
            </w:pPr>
            <w:r>
              <w:rPr>
                <w:rFonts w:hint="eastAsia" w:ascii="宋体" w:hAnsi="宋体"/>
                <w:szCs w:val="21"/>
                <w:highlight w:val="cyan"/>
              </w:rPr>
              <w:t>（二）如2个及以上投标人的投标报价偏离值相同时，招标人可以按照《山东省房屋建筑和市政工程施工招标评标办法》（鲁建发〔2014〕5号）中定标办法的“直接票决定标”法确定中标人，即按照对所有进入定标程序的中标候选人进行投票，得票最多的中标候选人即为中标人。</w:t>
            </w:r>
            <w:r>
              <w:rPr>
                <w:rFonts w:hint="eastAsia" w:ascii="宋体" w:hAnsi="宋体"/>
                <w:szCs w:val="21"/>
              </w:rPr>
              <w:t>（招标人也可以选择《省评标办法》中的其他定标办法）</w:t>
            </w:r>
          </w:p>
        </w:tc>
      </w:tr>
    </w:tbl>
    <w:p>
      <w:pPr>
        <w:rPr>
          <w:rFonts w:ascii="宋体" w:hAnsi="宋体"/>
          <w:b/>
          <w:szCs w:val="21"/>
        </w:rPr>
      </w:pPr>
      <w:r>
        <w:rPr>
          <w:rFonts w:hint="eastAsia" w:ascii="宋体" w:hAnsi="宋体"/>
          <w:b/>
          <w:szCs w:val="21"/>
        </w:rPr>
        <w:t>注：</w:t>
      </w:r>
    </w:p>
    <w:p>
      <w:pPr>
        <w:ind w:firstLine="422" w:firstLineChars="200"/>
        <w:rPr>
          <w:rFonts w:ascii="宋体" w:hAnsi="宋体"/>
          <w:b/>
          <w:szCs w:val="21"/>
        </w:rPr>
      </w:pPr>
      <w:r>
        <w:rPr>
          <w:rFonts w:hint="eastAsia" w:ascii="宋体" w:hAnsi="宋体"/>
          <w:b/>
          <w:szCs w:val="21"/>
        </w:rPr>
        <w:t>评标基准价C按照如下“综合平均法”计算确定：</w:t>
      </w:r>
    </w:p>
    <w:p>
      <w:pPr>
        <w:pStyle w:val="15"/>
        <w:ind w:firstLine="843" w:firstLineChars="400"/>
        <w:rPr>
          <w:b/>
        </w:rPr>
      </w:pPr>
      <w:r>
        <w:rPr>
          <w:rFonts w:hint="eastAsia"/>
          <w:b/>
        </w:rPr>
        <w:t>评标基准价</w:t>
      </w:r>
      <w:r>
        <w:rPr>
          <w:b/>
        </w:rPr>
        <w:t>C=A×K1×Q1+B×K2×Q2</w:t>
      </w:r>
    </w:p>
    <w:p>
      <w:pPr>
        <w:pStyle w:val="15"/>
        <w:ind w:firstLine="843" w:firstLineChars="400"/>
        <w:rPr>
          <w:b/>
        </w:rPr>
      </w:pPr>
      <w:r>
        <w:rPr>
          <w:b/>
        </w:rPr>
        <w:t>A</w:t>
      </w:r>
      <w:r>
        <w:rPr>
          <w:rFonts w:hint="eastAsia"/>
          <w:b/>
        </w:rPr>
        <w:t>：投标价算术平均值。</w:t>
      </w:r>
    </w:p>
    <w:p>
      <w:pPr>
        <w:pStyle w:val="15"/>
        <w:ind w:firstLine="843" w:firstLineChars="400"/>
        <w:rPr>
          <w:b/>
        </w:rPr>
      </w:pPr>
      <w:r>
        <w:rPr>
          <w:rFonts w:hint="eastAsia"/>
          <w:b/>
        </w:rPr>
        <w:t>当</w:t>
      </w:r>
      <w:r>
        <w:rPr>
          <w:b/>
        </w:rPr>
        <w:t>n</w:t>
      </w:r>
      <w:r>
        <w:rPr>
          <w:rFonts w:hint="eastAsia"/>
          <w:b/>
        </w:rPr>
        <w:t>（有效投标人个数，以下相同）＜</w:t>
      </w:r>
      <w:r>
        <w:rPr>
          <w:b/>
        </w:rPr>
        <w:t>7</w:t>
      </w:r>
      <w:r>
        <w:rPr>
          <w:rFonts w:hint="eastAsia"/>
          <w:b/>
        </w:rPr>
        <w:t>时，</w:t>
      </w:r>
      <w:r>
        <w:rPr>
          <w:b/>
        </w:rPr>
        <w:t>A=</w:t>
      </w:r>
      <w:r>
        <w:rPr>
          <w:rFonts w:hint="eastAsia"/>
          <w:b/>
        </w:rPr>
        <w:t>所有投标价的算术平均值；</w:t>
      </w:r>
    </w:p>
    <w:p>
      <w:pPr>
        <w:pStyle w:val="15"/>
        <w:ind w:firstLine="843" w:firstLineChars="400"/>
        <w:rPr>
          <w:b/>
        </w:rPr>
      </w:pPr>
      <w:r>
        <w:rPr>
          <w:rFonts w:hint="eastAsia"/>
          <w:b/>
        </w:rPr>
        <w:t>当</w:t>
      </w:r>
      <w:r>
        <w:rPr>
          <w:b/>
        </w:rPr>
        <w:t>7</w:t>
      </w:r>
      <w:r>
        <w:rPr>
          <w:rFonts w:hint="eastAsia"/>
          <w:b/>
        </w:rPr>
        <w:t>≤</w:t>
      </w:r>
      <w:r>
        <w:rPr>
          <w:b/>
        </w:rPr>
        <w:t>n</w:t>
      </w:r>
      <w:r>
        <w:rPr>
          <w:rFonts w:hint="eastAsia"/>
          <w:b/>
        </w:rPr>
        <w:t>＜</w:t>
      </w:r>
      <w:r>
        <w:rPr>
          <w:b/>
        </w:rPr>
        <w:t>10</w:t>
      </w:r>
      <w:r>
        <w:rPr>
          <w:rFonts w:hint="eastAsia"/>
          <w:b/>
        </w:rPr>
        <w:t>时，</w:t>
      </w:r>
      <w:r>
        <w:rPr>
          <w:b/>
        </w:rPr>
        <w:t>A=</w:t>
      </w:r>
      <w:r>
        <w:rPr>
          <w:rFonts w:hint="eastAsia"/>
          <w:b/>
        </w:rPr>
        <w:t>所有投标报价中去掉</w:t>
      </w:r>
      <w:r>
        <w:rPr>
          <w:b/>
        </w:rPr>
        <w:t>1</w:t>
      </w:r>
      <w:r>
        <w:rPr>
          <w:rFonts w:hint="eastAsia"/>
          <w:b/>
        </w:rPr>
        <w:t>个最高价、</w:t>
      </w:r>
      <w:r>
        <w:rPr>
          <w:b/>
        </w:rPr>
        <w:t>1</w:t>
      </w:r>
      <w:r>
        <w:rPr>
          <w:rFonts w:hint="eastAsia"/>
          <w:b/>
        </w:rPr>
        <w:t>个最低价后的算术平均值；</w:t>
      </w:r>
    </w:p>
    <w:p>
      <w:pPr>
        <w:pStyle w:val="15"/>
        <w:ind w:firstLine="843" w:firstLineChars="400"/>
        <w:rPr>
          <w:b/>
        </w:rPr>
      </w:pPr>
      <w:r>
        <w:rPr>
          <w:rFonts w:hint="eastAsia"/>
          <w:b/>
        </w:rPr>
        <w:t>当</w:t>
      </w:r>
      <w:r>
        <w:rPr>
          <w:b/>
        </w:rPr>
        <w:t>n</w:t>
      </w:r>
      <w:r>
        <w:rPr>
          <w:rFonts w:hint="eastAsia"/>
          <w:b/>
        </w:rPr>
        <w:t>≥</w:t>
      </w:r>
      <w:r>
        <w:rPr>
          <w:b/>
        </w:rPr>
        <w:t>10</w:t>
      </w:r>
      <w:r>
        <w:rPr>
          <w:rFonts w:hint="eastAsia"/>
          <w:b/>
        </w:rPr>
        <w:t>时，</w:t>
      </w:r>
      <w:r>
        <w:rPr>
          <w:b/>
        </w:rPr>
        <w:t>A=</w:t>
      </w:r>
      <w:r>
        <w:rPr>
          <w:rFonts w:hint="eastAsia"/>
          <w:b/>
        </w:rPr>
        <w:t>所有投标报价中去掉</w:t>
      </w:r>
      <w:r>
        <w:rPr>
          <w:b/>
        </w:rPr>
        <w:t>2</w:t>
      </w:r>
      <w:r>
        <w:rPr>
          <w:rFonts w:hint="eastAsia"/>
          <w:b/>
        </w:rPr>
        <w:t>个最高价、</w:t>
      </w:r>
      <w:r>
        <w:rPr>
          <w:b/>
        </w:rPr>
        <w:t>2</w:t>
      </w:r>
      <w:r>
        <w:rPr>
          <w:rFonts w:hint="eastAsia"/>
          <w:b/>
        </w:rPr>
        <w:t>个最低价后的算术平均值。</w:t>
      </w:r>
    </w:p>
    <w:p>
      <w:pPr>
        <w:pStyle w:val="15"/>
        <w:ind w:firstLine="843" w:firstLineChars="400"/>
        <w:rPr>
          <w:b/>
        </w:rPr>
      </w:pPr>
      <w:r>
        <w:rPr>
          <w:b/>
        </w:rPr>
        <w:t>B</w:t>
      </w:r>
      <w:r>
        <w:rPr>
          <w:rFonts w:hint="eastAsia"/>
          <w:b/>
        </w:rPr>
        <w:t>：招标控制价。</w:t>
      </w:r>
    </w:p>
    <w:p>
      <w:pPr>
        <w:pStyle w:val="15"/>
        <w:ind w:firstLine="843" w:firstLineChars="400"/>
        <w:rPr>
          <w:b/>
        </w:rPr>
      </w:pPr>
      <w:r>
        <w:rPr>
          <w:b/>
        </w:rPr>
        <w:t>K</w:t>
      </w:r>
      <w:r>
        <w:rPr>
          <w:rFonts w:hint="eastAsia"/>
          <w:b/>
        </w:rPr>
        <w:t>：下浮系数；</w:t>
      </w:r>
    </w:p>
    <w:p>
      <w:pPr>
        <w:pStyle w:val="15"/>
        <w:ind w:left="420" w:leftChars="200" w:firstLine="422" w:firstLineChars="200"/>
        <w:rPr>
          <w:b/>
        </w:rPr>
      </w:pPr>
      <w:r>
        <w:rPr>
          <w:b/>
        </w:rPr>
        <w:t>K1</w:t>
      </w:r>
      <w:r>
        <w:rPr>
          <w:rFonts w:hint="eastAsia"/>
          <w:b/>
        </w:rPr>
        <w:t>的取值为：在开标时由招标人代表或招标代理机构工作人员从</w:t>
      </w:r>
      <w:r>
        <w:rPr>
          <w:rFonts w:hint="eastAsia"/>
          <w:b/>
          <w:u w:val="single"/>
        </w:rPr>
        <w:t>、 、 、 、  、  、  （</w:t>
      </w:r>
      <w:r>
        <w:rPr>
          <w:b/>
        </w:rPr>
        <w:t>95%</w:t>
      </w:r>
      <w:r>
        <w:rPr>
          <w:rFonts w:hint="eastAsia"/>
          <w:b/>
        </w:rPr>
        <w:t>～</w:t>
      </w:r>
      <w:r>
        <w:rPr>
          <w:b/>
        </w:rPr>
        <w:t>98%</w:t>
      </w:r>
      <w:r>
        <w:rPr>
          <w:rFonts w:hint="eastAsia"/>
          <w:b/>
        </w:rPr>
        <w:t>的范围内，不少于5个）中随机抽取确定；</w:t>
      </w:r>
    </w:p>
    <w:p>
      <w:pPr>
        <w:pStyle w:val="15"/>
        <w:ind w:left="420" w:leftChars="200" w:firstLine="422" w:firstLineChars="200"/>
        <w:rPr>
          <w:b/>
        </w:rPr>
      </w:pPr>
      <w:r>
        <w:rPr>
          <w:b/>
        </w:rPr>
        <w:t>K2</w:t>
      </w:r>
      <w:r>
        <w:rPr>
          <w:rFonts w:hint="eastAsia"/>
          <w:b/>
        </w:rPr>
        <w:t>的取值为。（建筑工程为</w:t>
      </w:r>
      <w:r>
        <w:rPr>
          <w:b/>
        </w:rPr>
        <w:t>90%</w:t>
      </w:r>
      <w:r>
        <w:rPr>
          <w:rFonts w:hint="eastAsia"/>
          <w:b/>
        </w:rPr>
        <w:t>～</w:t>
      </w:r>
      <w:r>
        <w:rPr>
          <w:b/>
        </w:rPr>
        <w:t>100%</w:t>
      </w:r>
      <w:r>
        <w:rPr>
          <w:rFonts w:hint="eastAsia"/>
          <w:b/>
        </w:rPr>
        <w:t>，装饰、安装工程为</w:t>
      </w:r>
      <w:r>
        <w:rPr>
          <w:b/>
        </w:rPr>
        <w:t>88%</w:t>
      </w:r>
      <w:r>
        <w:rPr>
          <w:rFonts w:hint="eastAsia"/>
          <w:b/>
        </w:rPr>
        <w:t>～</w:t>
      </w:r>
      <w:r>
        <w:rPr>
          <w:b/>
        </w:rPr>
        <w:t>100%</w:t>
      </w:r>
      <w:r>
        <w:rPr>
          <w:rFonts w:hint="eastAsia"/>
          <w:b/>
        </w:rPr>
        <w:t>，市政工程为</w:t>
      </w:r>
      <w:r>
        <w:rPr>
          <w:b/>
        </w:rPr>
        <w:t>86%</w:t>
      </w:r>
      <w:r>
        <w:rPr>
          <w:rFonts w:hint="eastAsia"/>
          <w:b/>
        </w:rPr>
        <w:t>～</w:t>
      </w:r>
      <w:r>
        <w:rPr>
          <w:b/>
        </w:rPr>
        <w:t>100%</w:t>
      </w:r>
      <w:r>
        <w:rPr>
          <w:rFonts w:hint="eastAsia"/>
          <w:b/>
        </w:rPr>
        <w:t>，园林绿化工程为</w:t>
      </w:r>
      <w:r>
        <w:rPr>
          <w:b/>
        </w:rPr>
        <w:t>84%</w:t>
      </w:r>
      <w:r>
        <w:rPr>
          <w:rFonts w:hint="eastAsia"/>
          <w:b/>
        </w:rPr>
        <w:t>～</w:t>
      </w:r>
      <w:r>
        <w:rPr>
          <w:b/>
        </w:rPr>
        <w:t>100%</w:t>
      </w:r>
      <w:r>
        <w:rPr>
          <w:rFonts w:hint="eastAsia"/>
          <w:b/>
        </w:rPr>
        <w:t>，其他工程为</w:t>
      </w:r>
      <w:r>
        <w:rPr>
          <w:b/>
        </w:rPr>
        <w:t>88%</w:t>
      </w:r>
      <w:r>
        <w:rPr>
          <w:rFonts w:hint="eastAsia"/>
          <w:b/>
        </w:rPr>
        <w:t>～</w:t>
      </w:r>
      <w:r>
        <w:rPr>
          <w:b/>
        </w:rPr>
        <w:t>100%</w:t>
      </w:r>
      <w:r>
        <w:rPr>
          <w:rFonts w:hint="eastAsia"/>
          <w:b/>
        </w:rPr>
        <w:t>）</w:t>
      </w:r>
    </w:p>
    <w:p>
      <w:pPr>
        <w:pStyle w:val="15"/>
        <w:ind w:firstLine="843" w:firstLineChars="400"/>
        <w:rPr>
          <w:b/>
        </w:rPr>
      </w:pPr>
      <w:r>
        <w:rPr>
          <w:b/>
        </w:rPr>
        <w:t>Q</w:t>
      </w:r>
      <w:r>
        <w:rPr>
          <w:rFonts w:hint="eastAsia"/>
          <w:b/>
        </w:rPr>
        <w:t>：权重比例</w:t>
      </w:r>
      <w:r>
        <w:rPr>
          <w:b/>
        </w:rPr>
        <w:t>Q1+Q2=100%</w:t>
      </w:r>
      <w:r>
        <w:rPr>
          <w:rFonts w:hint="eastAsia"/>
          <w:b/>
        </w:rPr>
        <w:t>；</w:t>
      </w:r>
    </w:p>
    <w:p>
      <w:pPr>
        <w:pStyle w:val="15"/>
        <w:ind w:firstLine="843" w:firstLineChars="400"/>
        <w:rPr>
          <w:b/>
        </w:rPr>
      </w:pPr>
      <w:r>
        <w:rPr>
          <w:b/>
        </w:rPr>
        <w:t>Q1</w:t>
      </w:r>
      <w:r>
        <w:rPr>
          <w:rFonts w:hint="eastAsia"/>
          <w:b/>
        </w:rPr>
        <w:t>、</w:t>
      </w:r>
      <w:r>
        <w:rPr>
          <w:b/>
        </w:rPr>
        <w:t>Q2</w:t>
      </w:r>
      <w:r>
        <w:rPr>
          <w:rFonts w:hint="eastAsia"/>
          <w:b/>
        </w:rPr>
        <w:t>取值均应≥</w:t>
      </w:r>
      <w:r>
        <w:rPr>
          <w:b/>
        </w:rPr>
        <w:t>30%</w:t>
      </w:r>
      <w:r>
        <w:rPr>
          <w:rFonts w:hint="eastAsia"/>
          <w:b/>
        </w:rPr>
        <w:t>。</w:t>
      </w:r>
    </w:p>
    <w:p>
      <w:pPr>
        <w:pStyle w:val="15"/>
        <w:ind w:left="420" w:leftChars="200" w:firstLine="422" w:firstLineChars="200"/>
        <w:rPr>
          <w:b/>
        </w:rPr>
      </w:pPr>
      <w:r>
        <w:rPr>
          <w:rFonts w:hint="eastAsia"/>
          <w:b/>
        </w:rPr>
        <w:t>Q</w:t>
      </w:r>
      <w:r>
        <w:rPr>
          <w:b/>
        </w:rPr>
        <w:t>1</w:t>
      </w:r>
      <w:r>
        <w:rPr>
          <w:rFonts w:hint="eastAsia"/>
          <w:b/>
        </w:rPr>
        <w:t>的取值为：在开标时由招标人代表或招标代理机构工作人员从</w:t>
      </w:r>
      <w:r>
        <w:rPr>
          <w:rFonts w:hint="eastAsia"/>
          <w:b/>
          <w:u w:val="single"/>
        </w:rPr>
        <w:t>、 、 、 、  、  、  （</w:t>
      </w:r>
      <w:r>
        <w:rPr>
          <w:rFonts w:hint="eastAsia"/>
          <w:b/>
        </w:rPr>
        <w:t>30</w:t>
      </w:r>
      <w:r>
        <w:rPr>
          <w:b/>
        </w:rPr>
        <w:t>%</w:t>
      </w:r>
      <w:r>
        <w:rPr>
          <w:rFonts w:hint="eastAsia"/>
          <w:b/>
        </w:rPr>
        <w:t>～70</w:t>
      </w:r>
      <w:r>
        <w:rPr>
          <w:b/>
        </w:rPr>
        <w:t>%</w:t>
      </w:r>
      <w:r>
        <w:rPr>
          <w:rFonts w:hint="eastAsia"/>
          <w:b/>
        </w:rPr>
        <w:t>的范围内，不少于5个）中随机抽取确定。</w:t>
      </w:r>
    </w:p>
    <w:p>
      <w:pPr>
        <w:rPr>
          <w:b/>
        </w:rPr>
      </w:pPr>
    </w:p>
    <w:p>
      <w:pPr>
        <w:snapToGrid w:val="0"/>
        <w:spacing w:line="400" w:lineRule="exact"/>
        <w:ind w:firstLine="308" w:firstLineChars="147"/>
        <w:rPr>
          <w:rFonts w:ascii="宋体" w:hAnsi="宋体"/>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
      <w:pPr>
        <w:pStyle w:val="2"/>
        <w:spacing w:line="240" w:lineRule="auto"/>
        <w:jc w:val="center"/>
        <w:rPr>
          <w:b w:val="0"/>
        </w:rPr>
      </w:pPr>
      <w:bookmarkStart w:id="204" w:name="_Toc184635124"/>
      <w:bookmarkStart w:id="205" w:name="_Toc312072314"/>
      <w:r>
        <w:rPr>
          <w:rFonts w:eastAsia="黑体"/>
          <w:b w:val="0"/>
        </w:rPr>
        <w:t>第</w:t>
      </w:r>
      <w:r>
        <w:rPr>
          <w:rFonts w:hint="eastAsia" w:eastAsia="黑体"/>
          <w:b w:val="0"/>
        </w:rPr>
        <w:t>四</w:t>
      </w:r>
      <w:r>
        <w:rPr>
          <w:rFonts w:eastAsia="黑体"/>
          <w:b w:val="0"/>
        </w:rPr>
        <w:t>章 合同条款</w:t>
      </w:r>
      <w:r>
        <w:rPr>
          <w:rFonts w:hint="eastAsia" w:eastAsia="黑体"/>
          <w:b w:val="0"/>
        </w:rPr>
        <w:t>及格式</w:t>
      </w: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r>
        <w:rPr>
          <w:rFonts w:hint="eastAsia"/>
          <w:b/>
          <w:color w:val="FF0000"/>
        </w:rPr>
        <w:t>《山东省建设工程施工合同》（示范文本）（SDF-2019-0002）</w:t>
      </w: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jc w:val="center"/>
        <w:rPr>
          <w:rFonts w:ascii="楷体_GB2312" w:eastAsia="楷体_GB2312"/>
          <w:color w:val="000000"/>
        </w:rPr>
      </w:pPr>
    </w:p>
    <w:p>
      <w:pPr>
        <w:spacing w:line="420" w:lineRule="exact"/>
        <w:ind w:left="360"/>
        <w:jc w:val="center"/>
        <w:rPr>
          <w:color w:val="000000"/>
          <w:sz w:val="18"/>
          <w:szCs w:val="18"/>
        </w:rPr>
      </w:pPr>
      <w:r>
        <w:rPr>
          <w:rFonts w:hint="eastAsia" w:ascii="黑体" w:eastAsia="黑体"/>
          <w:sz w:val="30"/>
          <w:szCs w:val="30"/>
        </w:rPr>
        <w:t>第一部分  协议书</w:t>
      </w:r>
    </w:p>
    <w:p>
      <w:pPr>
        <w:rPr>
          <w:rFonts w:ascii="宋体" w:hAnsi="宋体"/>
          <w:b/>
          <w:color w:val="000000"/>
          <w:szCs w:val="21"/>
          <w:u w:val="single"/>
        </w:rPr>
      </w:pPr>
      <w:r>
        <w:rPr>
          <w:rFonts w:ascii="宋体" w:hAnsi="宋体"/>
          <w:b/>
          <w:color w:val="000000"/>
          <w:szCs w:val="21"/>
        </w:rPr>
        <w:t>发包人（全称）：</w:t>
      </w:r>
      <w:r>
        <w:rPr>
          <w:rFonts w:ascii="宋体" w:hAnsi="宋体"/>
          <w:b/>
          <w:color w:val="000000"/>
          <w:szCs w:val="21"/>
          <w:u w:val="single"/>
        </w:rPr>
        <w:t>         </w:t>
      </w:r>
    </w:p>
    <w:p>
      <w:pPr>
        <w:rPr>
          <w:rFonts w:ascii="宋体" w:hAnsi="宋体"/>
          <w:b/>
          <w:color w:val="000000"/>
          <w:szCs w:val="21"/>
          <w:u w:val="single"/>
        </w:rPr>
      </w:pPr>
      <w:r>
        <w:rPr>
          <w:rFonts w:ascii="宋体" w:hAnsi="宋体"/>
          <w:b/>
          <w:color w:val="000000"/>
          <w:szCs w:val="21"/>
        </w:rPr>
        <w:t>承包人（全称）：</w:t>
      </w:r>
      <w:r>
        <w:rPr>
          <w:rFonts w:ascii="宋体" w:hAnsi="宋体"/>
          <w:b/>
          <w:color w:val="000000"/>
          <w:szCs w:val="21"/>
          <w:u w:val="single"/>
        </w:rPr>
        <w:t>     </w:t>
      </w:r>
    </w:p>
    <w:p>
      <w:pPr>
        <w:ind w:firstLine="420" w:firstLineChars="200"/>
        <w:rPr>
          <w:rFonts w:ascii="宋体" w:hAnsi="宋体"/>
          <w:color w:val="000000"/>
          <w:szCs w:val="21"/>
        </w:rPr>
      </w:pPr>
      <w:r>
        <w:rPr>
          <w:rFonts w:ascii="宋体" w:hAnsi="宋体"/>
          <w:color w:val="000000"/>
          <w:szCs w:val="21"/>
        </w:rPr>
        <w:t>根据《中华人民共和国合同法》、《中华人民共和国建筑法》及有关法律规定，遵循平等、自愿、公平和诚实信用的原则，双方就</w:t>
      </w:r>
    </w:p>
    <w:p>
      <w:pPr>
        <w:rPr>
          <w:rFonts w:ascii="宋体" w:hAnsi="宋体"/>
          <w:color w:val="000000"/>
          <w:szCs w:val="21"/>
        </w:rPr>
      </w:pPr>
      <w:r>
        <w:rPr>
          <w:rFonts w:ascii="宋体" w:hAnsi="宋体"/>
          <w:color w:val="000000"/>
          <w:szCs w:val="21"/>
        </w:rPr>
        <w:t>工程施工及有关事项协商一致</w:t>
      </w:r>
      <w:r>
        <w:rPr>
          <w:rFonts w:hint="eastAsia" w:ascii="宋体" w:hAnsi="宋体"/>
          <w:color w:val="000000"/>
          <w:szCs w:val="21"/>
        </w:rPr>
        <w:t>，</w:t>
      </w:r>
      <w:r>
        <w:rPr>
          <w:rFonts w:ascii="宋体" w:hAnsi="宋体"/>
          <w:color w:val="000000"/>
          <w:szCs w:val="21"/>
        </w:rPr>
        <w:t>共同达成如下协议：</w:t>
      </w:r>
    </w:p>
    <w:p>
      <w:pPr>
        <w:pStyle w:val="5"/>
        <w:spacing w:before="120" w:after="120" w:line="240" w:lineRule="auto"/>
        <w:rPr>
          <w:rFonts w:ascii="宋体" w:hAnsi="宋体" w:eastAsia="宋体"/>
          <w:bCs w:val="0"/>
          <w:color w:val="000000"/>
          <w:sz w:val="21"/>
          <w:szCs w:val="21"/>
        </w:rPr>
      </w:pPr>
      <w:bookmarkStart w:id="206" w:name="_Toc351203481"/>
      <w:r>
        <w:rPr>
          <w:rFonts w:ascii="宋体" w:hAnsi="宋体" w:eastAsia="宋体"/>
          <w:b w:val="0"/>
          <w:color w:val="000000"/>
          <w:sz w:val="21"/>
          <w:szCs w:val="21"/>
        </w:rPr>
        <w:t>一、工程概况</w:t>
      </w:r>
      <w:bookmarkEnd w:id="206"/>
    </w:p>
    <w:p>
      <w:pPr>
        <w:ind w:firstLine="411" w:firstLineChars="196"/>
        <w:rPr>
          <w:rFonts w:ascii="宋体" w:hAnsi="宋体"/>
          <w:color w:val="000000"/>
          <w:szCs w:val="21"/>
          <w:u w:val="single"/>
        </w:rPr>
      </w:pPr>
      <w:r>
        <w:rPr>
          <w:rFonts w:ascii="宋体" w:hAnsi="宋体"/>
          <w:bCs/>
          <w:color w:val="000000"/>
          <w:szCs w:val="21"/>
        </w:rPr>
        <w:t>1.工程名称</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p>
    <w:p>
      <w:pPr>
        <w:ind w:firstLine="411" w:firstLineChars="196"/>
        <w:rPr>
          <w:rFonts w:ascii="宋体" w:hAnsi="宋体"/>
          <w:bCs/>
          <w:color w:val="000000"/>
          <w:szCs w:val="21"/>
        </w:rPr>
      </w:pPr>
      <w:r>
        <w:rPr>
          <w:rFonts w:ascii="宋体" w:hAnsi="宋体"/>
          <w:bCs/>
          <w:color w:val="000000"/>
          <w:szCs w:val="21"/>
        </w:rPr>
        <w:t>2.工程地点：</w:t>
      </w:r>
      <w:r>
        <w:rPr>
          <w:rFonts w:ascii="宋体" w:hAnsi="宋体"/>
          <w:color w:val="000000"/>
          <w:szCs w:val="21"/>
          <w:u w:val="single"/>
        </w:rPr>
        <w:t xml:space="preserve"> </w:t>
      </w:r>
      <w:r>
        <w:rPr>
          <w:rFonts w:ascii="宋体" w:hAnsi="宋体"/>
          <w:color w:val="000000"/>
          <w:szCs w:val="21"/>
        </w:rPr>
        <w:t>。</w:t>
      </w:r>
    </w:p>
    <w:p>
      <w:pPr>
        <w:ind w:firstLine="411" w:firstLineChars="196"/>
        <w:rPr>
          <w:rFonts w:ascii="宋体" w:hAnsi="宋体"/>
          <w:bCs/>
          <w:color w:val="000000"/>
          <w:szCs w:val="21"/>
        </w:rPr>
      </w:pPr>
      <w:r>
        <w:rPr>
          <w:rFonts w:ascii="宋体" w:hAnsi="宋体"/>
          <w:bCs/>
          <w:color w:val="000000"/>
          <w:szCs w:val="21"/>
        </w:rPr>
        <w:t>3.工程立项批准文号：</w:t>
      </w:r>
      <w:r>
        <w:rPr>
          <w:rFonts w:ascii="宋体" w:hAnsi="宋体"/>
          <w:color w:val="000000"/>
          <w:szCs w:val="21"/>
          <w:u w:val="single"/>
        </w:rPr>
        <w:t xml:space="preserve"> </w:t>
      </w:r>
      <w:r>
        <w:rPr>
          <w:rFonts w:ascii="宋体" w:hAnsi="宋体"/>
          <w:bCs/>
          <w:color w:val="000000"/>
          <w:szCs w:val="21"/>
        </w:rPr>
        <w:t>。</w:t>
      </w:r>
    </w:p>
    <w:p>
      <w:pPr>
        <w:ind w:firstLine="411" w:firstLineChars="196"/>
        <w:rPr>
          <w:rFonts w:ascii="宋体" w:hAnsi="宋体"/>
          <w:bCs/>
          <w:color w:val="000000"/>
          <w:szCs w:val="21"/>
        </w:rPr>
      </w:pPr>
      <w:r>
        <w:rPr>
          <w:rFonts w:ascii="宋体" w:hAnsi="宋体"/>
          <w:bCs/>
          <w:color w:val="000000"/>
          <w:szCs w:val="21"/>
        </w:rPr>
        <w:t>4.资金来源：</w:t>
      </w:r>
      <w:r>
        <w:rPr>
          <w:rFonts w:ascii="宋体" w:hAnsi="宋体"/>
          <w:color w:val="000000"/>
          <w:szCs w:val="21"/>
          <w:u w:val="single"/>
        </w:rPr>
        <w:t xml:space="preserve"> </w:t>
      </w:r>
      <w:r>
        <w:rPr>
          <w:rFonts w:ascii="宋体" w:hAnsi="宋体"/>
          <w:bCs/>
          <w:color w:val="000000"/>
          <w:szCs w:val="21"/>
        </w:rPr>
        <w:t>。</w:t>
      </w:r>
    </w:p>
    <w:p>
      <w:pPr>
        <w:ind w:firstLine="411" w:firstLineChars="196"/>
        <w:rPr>
          <w:rFonts w:ascii="宋体" w:hAnsi="宋体"/>
          <w:bCs/>
          <w:color w:val="000000"/>
          <w:szCs w:val="21"/>
        </w:rPr>
      </w:pPr>
      <w:r>
        <w:rPr>
          <w:rFonts w:hint="eastAsia" w:ascii="宋体" w:hAnsi="宋体"/>
          <w:bCs/>
          <w:color w:val="000000"/>
          <w:szCs w:val="21"/>
        </w:rPr>
        <w:t>5.工程内容：</w:t>
      </w:r>
      <w:r>
        <w:rPr>
          <w:rFonts w:ascii="宋体" w:hAnsi="宋体"/>
          <w:color w:val="000000"/>
          <w:szCs w:val="21"/>
          <w:u w:val="single"/>
        </w:rPr>
        <w:t xml:space="preserve"> </w:t>
      </w:r>
      <w:r>
        <w:rPr>
          <w:rFonts w:ascii="宋体" w:hAnsi="宋体"/>
          <w:bCs/>
          <w:color w:val="000000"/>
          <w:szCs w:val="21"/>
        </w:rPr>
        <w:t>。</w:t>
      </w:r>
    </w:p>
    <w:p>
      <w:pPr>
        <w:ind w:firstLine="411" w:firstLineChars="196"/>
        <w:rPr>
          <w:rFonts w:ascii="宋体" w:hAnsi="宋体"/>
          <w:bCs/>
          <w:color w:val="000000"/>
          <w:szCs w:val="21"/>
        </w:rPr>
      </w:pPr>
      <w:r>
        <w:rPr>
          <w:rFonts w:hint="eastAsia" w:ascii="宋体" w:hAnsi="宋体"/>
          <w:color w:val="000000"/>
          <w:szCs w:val="21"/>
        </w:rPr>
        <w:t>群体工程应附《</w:t>
      </w:r>
      <w:r>
        <w:rPr>
          <w:rFonts w:ascii="宋体" w:hAnsi="宋体"/>
          <w:color w:val="000000"/>
          <w:szCs w:val="21"/>
        </w:rPr>
        <w:t>承包人承揽工程项目一览表</w:t>
      </w:r>
      <w:r>
        <w:rPr>
          <w:rFonts w:hint="eastAsia" w:ascii="宋体" w:hAnsi="宋体"/>
          <w:color w:val="000000"/>
          <w:szCs w:val="21"/>
        </w:rPr>
        <w:t>》（附件1）。</w:t>
      </w:r>
    </w:p>
    <w:p>
      <w:pPr>
        <w:ind w:firstLine="411" w:firstLineChars="196"/>
        <w:rPr>
          <w:rFonts w:ascii="宋体" w:hAnsi="宋体"/>
          <w:bCs/>
          <w:color w:val="000000"/>
          <w:szCs w:val="21"/>
        </w:rPr>
      </w:pPr>
      <w:r>
        <w:rPr>
          <w:rFonts w:hint="eastAsia" w:ascii="宋体" w:hAnsi="宋体"/>
          <w:bCs/>
          <w:color w:val="000000"/>
          <w:szCs w:val="21"/>
        </w:rPr>
        <w:t>6</w:t>
      </w:r>
      <w:r>
        <w:rPr>
          <w:rFonts w:ascii="宋体" w:hAnsi="宋体"/>
          <w:bCs/>
          <w:color w:val="000000"/>
          <w:szCs w:val="21"/>
        </w:rPr>
        <w:t>.工程承包范围：</w:t>
      </w:r>
    </w:p>
    <w:p>
      <w:pPr>
        <w:ind w:firstLine="405" w:firstLineChars="193"/>
        <w:rPr>
          <w:rFonts w:ascii="宋体" w:hAnsi="宋体"/>
          <w:color w:val="000000"/>
          <w:szCs w:val="21"/>
        </w:rPr>
      </w:pPr>
      <w:r>
        <w:rPr>
          <w:rFonts w:ascii="宋体" w:hAnsi="宋体"/>
          <w:color w:val="000000"/>
          <w:szCs w:val="21"/>
          <w:u w:val="single"/>
        </w:rPr>
        <w:t></w:t>
      </w:r>
    </w:p>
    <w:p>
      <w:pPr>
        <w:ind w:firstLine="420" w:firstLineChars="200"/>
        <w:rPr>
          <w:rFonts w:ascii="宋体" w:hAnsi="宋体"/>
          <w:color w:val="000000"/>
          <w:szCs w:val="21"/>
        </w:rPr>
      </w:pPr>
      <w:r>
        <w:rPr>
          <w:rFonts w:ascii="宋体" w:hAnsi="宋体"/>
          <w:color w:val="000000"/>
          <w:szCs w:val="21"/>
          <w:u w:val="single"/>
        </w:rPr>
        <w:t></w:t>
      </w:r>
      <w:r>
        <w:rPr>
          <w:rFonts w:ascii="宋体" w:hAnsi="宋体"/>
          <w:color w:val="000000"/>
          <w:szCs w:val="21"/>
        </w:rPr>
        <w:t>。</w:t>
      </w:r>
    </w:p>
    <w:p>
      <w:pPr>
        <w:pStyle w:val="5"/>
        <w:spacing w:before="120" w:after="120" w:line="240" w:lineRule="auto"/>
        <w:rPr>
          <w:rFonts w:ascii="宋体" w:hAnsi="宋体" w:eastAsia="宋体"/>
          <w:b w:val="0"/>
          <w:color w:val="000000"/>
          <w:sz w:val="21"/>
          <w:szCs w:val="21"/>
        </w:rPr>
      </w:pPr>
      <w:bookmarkStart w:id="207" w:name="_Toc351203482"/>
      <w:r>
        <w:rPr>
          <w:rFonts w:ascii="宋体" w:hAnsi="宋体" w:eastAsia="宋体"/>
          <w:b w:val="0"/>
          <w:color w:val="000000"/>
          <w:sz w:val="21"/>
          <w:szCs w:val="21"/>
        </w:rPr>
        <w:t>二、合同工期</w:t>
      </w:r>
      <w:bookmarkEnd w:id="207"/>
    </w:p>
    <w:p>
      <w:pPr>
        <w:ind w:firstLine="459"/>
        <w:rPr>
          <w:rFonts w:ascii="宋体" w:hAnsi="宋体"/>
          <w:color w:val="000000"/>
          <w:szCs w:val="21"/>
        </w:rPr>
      </w:pPr>
      <w:r>
        <w:rPr>
          <w:rFonts w:ascii="宋体" w:hAnsi="宋体"/>
          <w:color w:val="000000"/>
          <w:szCs w:val="21"/>
        </w:rPr>
        <w:t>计划开工日期：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ind w:firstLine="459"/>
        <w:rPr>
          <w:rFonts w:ascii="宋体" w:hAnsi="宋体"/>
          <w:color w:val="000000"/>
          <w:szCs w:val="21"/>
        </w:rPr>
      </w:pPr>
      <w:r>
        <w:rPr>
          <w:rFonts w:ascii="宋体" w:hAnsi="宋体"/>
          <w:color w:val="000000"/>
          <w:szCs w:val="21"/>
        </w:rPr>
        <w:t>计划竣工日期：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ind w:firstLine="459"/>
        <w:rPr>
          <w:rFonts w:ascii="宋体" w:hAnsi="宋体"/>
          <w:color w:val="000000"/>
          <w:szCs w:val="21"/>
        </w:rPr>
      </w:pPr>
      <w:r>
        <w:rPr>
          <w:rFonts w:ascii="宋体" w:hAnsi="宋体"/>
          <w:color w:val="000000"/>
          <w:szCs w:val="21"/>
        </w:rPr>
        <w:t>工期总日历天数：</w:t>
      </w:r>
      <w:r>
        <w:rPr>
          <w:rFonts w:ascii="宋体" w:hAnsi="宋体"/>
          <w:color w:val="000000"/>
          <w:szCs w:val="21"/>
          <w:u w:val="single"/>
        </w:rPr>
        <w:t></w:t>
      </w:r>
      <w:r>
        <w:rPr>
          <w:rFonts w:ascii="宋体" w:hAnsi="宋体"/>
          <w:color w:val="000000"/>
          <w:szCs w:val="21"/>
        </w:rPr>
        <w:t>天。工期总日历天数与根据前述计划开竣工日期计算的工期天数不一致的，以工期总日历天数为准。</w:t>
      </w:r>
    </w:p>
    <w:p>
      <w:pPr>
        <w:pStyle w:val="5"/>
        <w:spacing w:before="120" w:after="120" w:line="240" w:lineRule="auto"/>
        <w:rPr>
          <w:rFonts w:ascii="宋体" w:hAnsi="宋体" w:eastAsia="宋体"/>
          <w:bCs w:val="0"/>
          <w:color w:val="000000"/>
          <w:sz w:val="21"/>
          <w:szCs w:val="21"/>
        </w:rPr>
      </w:pPr>
      <w:bookmarkStart w:id="208" w:name="_Toc351203483"/>
      <w:r>
        <w:rPr>
          <w:rFonts w:ascii="宋体" w:hAnsi="宋体" w:eastAsia="宋体"/>
          <w:b w:val="0"/>
          <w:color w:val="000000"/>
          <w:sz w:val="21"/>
          <w:szCs w:val="21"/>
        </w:rPr>
        <w:t>三、质量标准</w:t>
      </w:r>
      <w:bookmarkEnd w:id="208"/>
    </w:p>
    <w:p>
      <w:pPr>
        <w:ind w:firstLine="459"/>
        <w:rPr>
          <w:rFonts w:ascii="宋体" w:hAnsi="宋体"/>
          <w:color w:val="000000"/>
          <w:szCs w:val="21"/>
        </w:rPr>
      </w:pPr>
      <w:r>
        <w:rPr>
          <w:rFonts w:ascii="宋体" w:hAnsi="宋体"/>
          <w:color w:val="000000"/>
          <w:szCs w:val="21"/>
        </w:rPr>
        <w:t>工程质量符合</w:t>
      </w:r>
      <w:r>
        <w:rPr>
          <w:rFonts w:ascii="宋体" w:hAnsi="宋体"/>
          <w:color w:val="000000"/>
          <w:szCs w:val="21"/>
          <w:u w:val="single"/>
        </w:rPr>
        <w:t></w:t>
      </w:r>
      <w:r>
        <w:rPr>
          <w:rFonts w:ascii="宋体" w:hAnsi="宋体"/>
          <w:color w:val="000000"/>
          <w:szCs w:val="21"/>
        </w:rPr>
        <w:t>标准。</w:t>
      </w:r>
    </w:p>
    <w:p>
      <w:pPr>
        <w:pStyle w:val="5"/>
        <w:spacing w:before="120" w:after="120" w:line="240" w:lineRule="auto"/>
        <w:rPr>
          <w:rFonts w:ascii="宋体" w:hAnsi="宋体" w:eastAsia="宋体"/>
          <w:bCs w:val="0"/>
          <w:color w:val="000000"/>
          <w:sz w:val="21"/>
          <w:szCs w:val="21"/>
        </w:rPr>
      </w:pPr>
      <w:bookmarkStart w:id="209" w:name="_Toc351203484"/>
      <w:r>
        <w:rPr>
          <w:rFonts w:ascii="宋体" w:hAnsi="宋体" w:eastAsia="宋体"/>
          <w:b w:val="0"/>
          <w:color w:val="000000"/>
          <w:sz w:val="21"/>
          <w:szCs w:val="21"/>
        </w:rPr>
        <w:t>四、签约合同价与合同价格形式</w:t>
      </w:r>
      <w:bookmarkEnd w:id="209"/>
      <w:r>
        <w:rPr>
          <w:rFonts w:ascii="宋体" w:hAnsi="宋体" w:eastAsia="宋体"/>
          <w:b w:val="0"/>
          <w:color w:val="000000"/>
          <w:sz w:val="21"/>
          <w:szCs w:val="21"/>
        </w:rPr>
        <w:tab/>
      </w:r>
    </w:p>
    <w:p>
      <w:pPr>
        <w:ind w:firstLine="420" w:firstLineChars="200"/>
        <w:rPr>
          <w:rFonts w:ascii="宋体" w:hAnsi="宋体"/>
          <w:color w:val="000000"/>
          <w:szCs w:val="21"/>
        </w:rPr>
      </w:pPr>
      <w:r>
        <w:rPr>
          <w:rFonts w:ascii="宋体" w:hAnsi="宋体"/>
          <w:color w:val="000000"/>
          <w:szCs w:val="21"/>
        </w:rPr>
        <w:t>1.签约合同价为：</w:t>
      </w:r>
    </w:p>
    <w:p>
      <w:pPr>
        <w:ind w:firstLine="525" w:firstLineChars="250"/>
        <w:rPr>
          <w:rFonts w:ascii="宋体" w:hAnsi="宋体"/>
          <w:color w:val="000000"/>
          <w:szCs w:val="21"/>
        </w:rPr>
      </w:pPr>
      <w:r>
        <w:rPr>
          <w:rFonts w:ascii="宋体" w:hAnsi="宋体"/>
          <w:color w:val="000000"/>
          <w:szCs w:val="21"/>
        </w:rPr>
        <w:t>人民币（大写）(¥元)；</w:t>
      </w:r>
    </w:p>
    <w:p>
      <w:pPr>
        <w:ind w:firstLine="420" w:firstLineChars="200"/>
        <w:rPr>
          <w:rFonts w:ascii="宋体" w:hAnsi="宋体"/>
          <w:color w:val="000000"/>
          <w:szCs w:val="21"/>
        </w:rPr>
      </w:pPr>
      <w:r>
        <w:rPr>
          <w:rFonts w:ascii="宋体" w:hAnsi="宋体"/>
          <w:color w:val="000000"/>
          <w:szCs w:val="21"/>
        </w:rPr>
        <w:t>其中：</w:t>
      </w:r>
    </w:p>
    <w:p>
      <w:pPr>
        <w:spacing w:line="360" w:lineRule="auto"/>
        <w:ind w:firstLine="420" w:firstLineChars="200"/>
        <w:rPr>
          <w:rFonts w:ascii="宋体" w:hAnsi="宋体"/>
          <w:szCs w:val="21"/>
        </w:rPr>
      </w:pPr>
      <w:r>
        <w:rPr>
          <w:rFonts w:ascii="宋体" w:hAnsi="宋体"/>
          <w:szCs w:val="21"/>
        </w:rPr>
        <w:t>（1）安全文明施工费：</w:t>
      </w:r>
    </w:p>
    <w:p>
      <w:pPr>
        <w:spacing w:line="360" w:lineRule="auto"/>
        <w:ind w:firstLine="945" w:firstLineChars="450"/>
        <w:rPr>
          <w:rFonts w:ascii="宋体" w:hAnsi="宋体"/>
          <w:szCs w:val="21"/>
        </w:rPr>
      </w:pPr>
      <w:r>
        <w:rPr>
          <w:rFonts w:ascii="宋体" w:hAnsi="宋体"/>
          <w:szCs w:val="21"/>
        </w:rPr>
        <w:t>人民币（大写） (¥元)；</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人工费</w:t>
      </w:r>
      <w:r>
        <w:rPr>
          <w:rFonts w:ascii="宋体" w:hAnsi="宋体"/>
          <w:szCs w:val="21"/>
        </w:rPr>
        <w:t>：</w:t>
      </w:r>
    </w:p>
    <w:p>
      <w:pPr>
        <w:spacing w:line="360" w:lineRule="auto"/>
        <w:ind w:firstLine="945" w:firstLineChars="450"/>
        <w:rPr>
          <w:rFonts w:ascii="宋体" w:hAnsi="宋体"/>
          <w:szCs w:val="21"/>
        </w:rPr>
      </w:pPr>
      <w:r>
        <w:rPr>
          <w:rFonts w:ascii="宋体" w:hAnsi="宋体"/>
          <w:szCs w:val="21"/>
        </w:rPr>
        <w:t>人民币（大写） (¥元)；</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）材料和工程设备暂估价金额：</w:t>
      </w:r>
    </w:p>
    <w:p>
      <w:pPr>
        <w:spacing w:line="360" w:lineRule="auto"/>
        <w:ind w:firstLine="945" w:firstLineChars="450"/>
        <w:rPr>
          <w:rFonts w:ascii="宋体" w:hAnsi="宋体"/>
          <w:szCs w:val="21"/>
        </w:rPr>
      </w:pPr>
      <w:r>
        <w:rPr>
          <w:rFonts w:ascii="宋体" w:hAnsi="宋体"/>
          <w:szCs w:val="21"/>
        </w:rPr>
        <w:t>人民币（大写） (¥元)；</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）专业工程暂估价金额：</w:t>
      </w:r>
    </w:p>
    <w:p>
      <w:pPr>
        <w:spacing w:line="360" w:lineRule="auto"/>
        <w:ind w:firstLine="945" w:firstLineChars="450"/>
        <w:rPr>
          <w:rFonts w:ascii="宋体" w:hAnsi="宋体"/>
          <w:szCs w:val="21"/>
        </w:rPr>
      </w:pPr>
      <w:r>
        <w:rPr>
          <w:rFonts w:ascii="宋体" w:hAnsi="宋体"/>
          <w:szCs w:val="21"/>
        </w:rPr>
        <w:t>人民币（大写） (¥元)；</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）暂列金额：</w:t>
      </w:r>
    </w:p>
    <w:p>
      <w:pPr>
        <w:ind w:firstLine="420" w:firstLineChars="200"/>
        <w:rPr>
          <w:rFonts w:eastAsia="仿宋_GB2312"/>
          <w:sz w:val="30"/>
          <w:szCs w:val="30"/>
        </w:rPr>
      </w:pPr>
      <w:r>
        <w:rPr>
          <w:rFonts w:ascii="宋体" w:hAnsi="宋体"/>
          <w:szCs w:val="21"/>
        </w:rPr>
        <w:t>人民币（大写） (¥元)。</w:t>
      </w:r>
    </w:p>
    <w:p>
      <w:pPr>
        <w:ind w:firstLine="420" w:firstLineChars="200"/>
        <w:rPr>
          <w:rFonts w:ascii="宋体" w:hAnsi="宋体"/>
          <w:color w:val="000000"/>
          <w:szCs w:val="21"/>
        </w:rPr>
      </w:pPr>
      <w:r>
        <w:rPr>
          <w:rFonts w:ascii="宋体" w:hAnsi="宋体"/>
          <w:color w:val="000000"/>
          <w:szCs w:val="21"/>
        </w:rPr>
        <w:t>2.合同价格形式：</w:t>
      </w:r>
      <w:r>
        <w:rPr>
          <w:rFonts w:ascii="宋体" w:hAnsi="宋体"/>
          <w:color w:val="000000"/>
          <w:szCs w:val="21"/>
          <w:u w:val="single"/>
        </w:rPr>
        <w:t>           </w:t>
      </w:r>
      <w:r>
        <w:rPr>
          <w:rFonts w:ascii="宋体" w:hAnsi="宋体"/>
          <w:color w:val="000000"/>
          <w:szCs w:val="21"/>
        </w:rPr>
        <w:t>。</w:t>
      </w:r>
    </w:p>
    <w:p>
      <w:pPr>
        <w:pStyle w:val="5"/>
        <w:spacing w:before="120" w:after="120" w:line="240" w:lineRule="auto"/>
        <w:rPr>
          <w:rFonts w:ascii="宋体" w:hAnsi="宋体" w:eastAsia="宋体"/>
          <w:b w:val="0"/>
          <w:color w:val="000000"/>
          <w:sz w:val="21"/>
          <w:szCs w:val="21"/>
        </w:rPr>
      </w:pPr>
      <w:bookmarkStart w:id="210" w:name="_Toc351203485"/>
      <w:r>
        <w:rPr>
          <w:rFonts w:ascii="宋体" w:hAnsi="宋体" w:eastAsia="宋体"/>
          <w:b w:val="0"/>
          <w:color w:val="000000"/>
          <w:sz w:val="21"/>
          <w:szCs w:val="21"/>
        </w:rPr>
        <w:t>五、</w:t>
      </w:r>
      <w:bookmarkEnd w:id="210"/>
      <w:r>
        <w:rPr>
          <w:rFonts w:ascii="宋体" w:hAnsi="宋体" w:eastAsia="宋体"/>
          <w:b w:val="0"/>
          <w:color w:val="000000"/>
          <w:sz w:val="21"/>
          <w:szCs w:val="21"/>
        </w:rPr>
        <w:t>项目经理</w:t>
      </w:r>
    </w:p>
    <w:p>
      <w:pPr>
        <w:ind w:firstLine="420" w:firstLineChars="200"/>
        <w:rPr>
          <w:rFonts w:ascii="宋体" w:hAnsi="宋体"/>
          <w:color w:val="000000"/>
          <w:szCs w:val="21"/>
        </w:rPr>
      </w:pPr>
      <w:r>
        <w:rPr>
          <w:rFonts w:ascii="宋体" w:hAnsi="宋体"/>
          <w:color w:val="000000"/>
          <w:szCs w:val="21"/>
        </w:rPr>
        <w:t>承包人项目经理：</w:t>
      </w:r>
      <w:r>
        <w:rPr>
          <w:rFonts w:ascii="宋体" w:hAnsi="宋体"/>
          <w:color w:val="000000"/>
          <w:szCs w:val="21"/>
          <w:u w:val="single"/>
        </w:rPr>
        <w:t>         </w:t>
      </w:r>
      <w:r>
        <w:rPr>
          <w:rFonts w:ascii="宋体" w:hAnsi="宋体"/>
          <w:color w:val="000000"/>
          <w:szCs w:val="21"/>
        </w:rPr>
        <w:t>。</w:t>
      </w:r>
    </w:p>
    <w:p>
      <w:pPr>
        <w:pStyle w:val="5"/>
        <w:spacing w:before="120" w:after="120" w:line="240" w:lineRule="auto"/>
        <w:rPr>
          <w:rFonts w:ascii="宋体" w:hAnsi="宋体" w:eastAsia="宋体"/>
          <w:bCs w:val="0"/>
          <w:color w:val="000000"/>
          <w:sz w:val="21"/>
          <w:szCs w:val="21"/>
        </w:rPr>
      </w:pPr>
      <w:bookmarkStart w:id="211" w:name="_Toc351203486"/>
      <w:r>
        <w:rPr>
          <w:rFonts w:ascii="宋体" w:hAnsi="宋体" w:eastAsia="宋体"/>
          <w:b w:val="0"/>
          <w:color w:val="000000"/>
          <w:sz w:val="21"/>
          <w:szCs w:val="21"/>
        </w:rPr>
        <w:t>六、合同文件构成</w:t>
      </w:r>
      <w:bookmarkEnd w:id="211"/>
    </w:p>
    <w:p>
      <w:pPr>
        <w:ind w:firstLine="420" w:firstLineChars="200"/>
        <w:rPr>
          <w:rFonts w:ascii="宋体" w:hAnsi="宋体"/>
          <w:bCs/>
          <w:color w:val="000000"/>
          <w:szCs w:val="21"/>
        </w:rPr>
      </w:pPr>
      <w:r>
        <w:rPr>
          <w:rFonts w:ascii="宋体" w:hAnsi="宋体"/>
          <w:bCs/>
          <w:color w:val="000000"/>
          <w:szCs w:val="21"/>
        </w:rPr>
        <w:t>本协议书与下列文件一起构成合同文件：</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（1）中标通知书（如果有）；</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 xml:space="preserve">（2）投标函及其附录（如果有）； </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（3）专用合同条款及其附件；</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（4）通用合同条款；</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（5）技术标准和要求；</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（6）图纸；</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（7）已标价工程量清单或预算书；</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（8）其他合同文件。</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pPr>
        <w:autoSpaceDE w:val="0"/>
        <w:autoSpaceDN w:val="0"/>
        <w:adjustRightInd w:val="0"/>
        <w:ind w:firstLine="420" w:firstLineChars="200"/>
        <w:jc w:val="left"/>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hint="eastAsia" w:ascii="宋体" w:hAnsi="宋体"/>
          <w:color w:val="000000"/>
          <w:szCs w:val="21"/>
        </w:rPr>
        <w:t>专用合同条款及其附件须经合同当事人签字或盖章。</w:t>
      </w:r>
    </w:p>
    <w:p>
      <w:pPr>
        <w:pStyle w:val="5"/>
        <w:spacing w:before="120" w:after="120" w:line="240" w:lineRule="auto"/>
        <w:rPr>
          <w:rFonts w:ascii="宋体" w:hAnsi="宋体" w:eastAsia="宋体"/>
          <w:b w:val="0"/>
          <w:bCs w:val="0"/>
          <w:color w:val="000000"/>
          <w:sz w:val="21"/>
          <w:szCs w:val="21"/>
        </w:rPr>
      </w:pPr>
      <w:bookmarkStart w:id="212" w:name="_Toc351203487"/>
      <w:r>
        <w:rPr>
          <w:rFonts w:ascii="宋体" w:hAnsi="宋体" w:eastAsia="宋体"/>
          <w:b w:val="0"/>
          <w:color w:val="000000"/>
          <w:sz w:val="21"/>
          <w:szCs w:val="21"/>
        </w:rPr>
        <w:t>七、承诺</w:t>
      </w:r>
      <w:bookmarkEnd w:id="212"/>
    </w:p>
    <w:p>
      <w:pPr>
        <w:spacing w:line="360" w:lineRule="auto"/>
        <w:ind w:firstLine="420" w:firstLineChars="200"/>
        <w:rPr>
          <w:rFonts w:ascii="宋体" w:hAnsi="宋体"/>
          <w:color w:val="000000"/>
          <w:szCs w:val="21"/>
        </w:rPr>
      </w:pPr>
      <w:r>
        <w:rPr>
          <w:rFonts w:ascii="宋体" w:hAnsi="宋体"/>
          <w:color w:val="000000"/>
          <w:szCs w:val="21"/>
        </w:rPr>
        <w:t>1.发包人承诺按照法律规定履行项目审批手续、筹集工程建设资金并按照合同约定的期限和方式支付合同价款</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发包人和承包人</w:t>
      </w:r>
      <w:r>
        <w:rPr>
          <w:rFonts w:hint="eastAsia" w:ascii="宋体" w:hAnsi="宋体"/>
          <w:color w:val="000000"/>
          <w:szCs w:val="21"/>
        </w:rPr>
        <w:t>承诺执行政府行政管理部门关于工程款分账管理、农民工工资支付的各项制度，不拖欠农民工工资</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4.发包人和承包人承诺按照政府行政管理部门要求，加强施工扬尘防治及非道路移动机械污染管控工作。</w:t>
      </w:r>
    </w:p>
    <w:p>
      <w:pPr>
        <w:ind w:firstLine="420" w:firstLineChars="200"/>
        <w:rPr>
          <w:rFonts w:ascii="宋体" w:hAnsi="宋体"/>
          <w:color w:val="000000"/>
          <w:szCs w:val="21"/>
        </w:rPr>
      </w:pPr>
      <w:r>
        <w:rPr>
          <w:rFonts w:ascii="宋体" w:hAnsi="宋体"/>
          <w:color w:val="000000"/>
          <w:szCs w:val="21"/>
        </w:rPr>
        <w:t>5.发包人和承包人通过招投标形式签订合同的，双方理解并</w:t>
      </w:r>
      <w:r>
        <w:rPr>
          <w:rFonts w:hint="eastAsia" w:ascii="宋体" w:hAnsi="宋体"/>
          <w:color w:val="000000"/>
          <w:szCs w:val="21"/>
        </w:rPr>
        <w:t>承诺</w:t>
      </w:r>
      <w:r>
        <w:rPr>
          <w:rFonts w:ascii="宋体" w:hAnsi="宋体"/>
          <w:color w:val="000000"/>
          <w:szCs w:val="21"/>
        </w:rPr>
        <w:t>不再就同一工程另行签订与合同实质性内容相背离的协议。</w:t>
      </w:r>
    </w:p>
    <w:p>
      <w:pPr>
        <w:rPr>
          <w:rFonts w:ascii="宋体" w:hAnsi="宋体"/>
          <w:bCs/>
          <w:color w:val="000000"/>
          <w:szCs w:val="21"/>
        </w:rPr>
      </w:pPr>
      <w:bookmarkStart w:id="213" w:name="_Toc351203488"/>
      <w:r>
        <w:rPr>
          <w:rFonts w:ascii="宋体" w:hAnsi="宋体"/>
          <w:b/>
          <w:color w:val="000000"/>
          <w:szCs w:val="21"/>
        </w:rPr>
        <w:t>八、词语含义</w:t>
      </w:r>
      <w:bookmarkEnd w:id="213"/>
    </w:p>
    <w:p>
      <w:pPr>
        <w:ind w:firstLine="420" w:firstLineChars="200"/>
        <w:rPr>
          <w:rFonts w:ascii="宋体" w:hAnsi="宋体"/>
          <w:bCs/>
          <w:color w:val="000000"/>
          <w:szCs w:val="21"/>
        </w:rPr>
      </w:pPr>
      <w:r>
        <w:rPr>
          <w:rFonts w:ascii="宋体" w:hAnsi="宋体"/>
          <w:bCs/>
          <w:color w:val="000000"/>
          <w:szCs w:val="21"/>
        </w:rPr>
        <w:t>本协议书中词语含义与第二部分通用合同条款中赋予的含义相同。</w:t>
      </w:r>
    </w:p>
    <w:p>
      <w:pPr>
        <w:pStyle w:val="5"/>
        <w:spacing w:before="120" w:after="120" w:line="240" w:lineRule="auto"/>
        <w:rPr>
          <w:rFonts w:ascii="宋体" w:hAnsi="宋体" w:eastAsia="宋体"/>
          <w:bCs w:val="0"/>
          <w:color w:val="000000"/>
          <w:sz w:val="21"/>
          <w:szCs w:val="21"/>
        </w:rPr>
      </w:pPr>
      <w:bookmarkStart w:id="214" w:name="_Toc351203489"/>
      <w:r>
        <w:rPr>
          <w:rFonts w:ascii="宋体" w:hAnsi="宋体" w:eastAsia="宋体"/>
          <w:b w:val="0"/>
          <w:color w:val="000000"/>
          <w:sz w:val="21"/>
          <w:szCs w:val="21"/>
        </w:rPr>
        <w:t>九、签订时间</w:t>
      </w:r>
      <w:bookmarkEnd w:id="214"/>
    </w:p>
    <w:p>
      <w:pPr>
        <w:ind w:firstLine="420" w:firstLineChars="200"/>
        <w:rPr>
          <w:rFonts w:ascii="宋体" w:hAnsi="宋体"/>
          <w:bCs/>
          <w:color w:val="000000"/>
          <w:szCs w:val="21"/>
        </w:rPr>
      </w:pPr>
      <w:r>
        <w:rPr>
          <w:rFonts w:ascii="宋体" w:hAnsi="宋体"/>
          <w:bCs/>
          <w:color w:val="000000"/>
          <w:szCs w:val="21"/>
        </w:rPr>
        <w:t>本合同于年月日签订。</w:t>
      </w:r>
    </w:p>
    <w:p>
      <w:pPr>
        <w:pStyle w:val="5"/>
        <w:spacing w:before="120" w:after="120" w:line="240" w:lineRule="auto"/>
        <w:rPr>
          <w:rFonts w:ascii="宋体" w:hAnsi="宋体" w:eastAsia="宋体"/>
          <w:bCs w:val="0"/>
          <w:color w:val="000000"/>
          <w:sz w:val="21"/>
          <w:szCs w:val="21"/>
        </w:rPr>
      </w:pPr>
      <w:bookmarkStart w:id="215" w:name="_Toc351203490"/>
      <w:r>
        <w:rPr>
          <w:rFonts w:ascii="宋体" w:hAnsi="宋体" w:eastAsia="宋体"/>
          <w:b w:val="0"/>
          <w:color w:val="000000"/>
          <w:sz w:val="21"/>
          <w:szCs w:val="21"/>
        </w:rPr>
        <w:t>十、签订地点</w:t>
      </w:r>
      <w:bookmarkEnd w:id="215"/>
    </w:p>
    <w:p>
      <w:pPr>
        <w:ind w:firstLine="420" w:firstLineChars="200"/>
        <w:rPr>
          <w:rFonts w:ascii="宋体" w:hAnsi="宋体"/>
          <w:bCs/>
          <w:color w:val="000000"/>
          <w:szCs w:val="21"/>
        </w:rPr>
      </w:pPr>
      <w:r>
        <w:rPr>
          <w:rFonts w:ascii="宋体" w:hAnsi="宋体"/>
          <w:bCs/>
          <w:color w:val="000000"/>
          <w:szCs w:val="21"/>
        </w:rPr>
        <w:t>本合同在签订。</w:t>
      </w:r>
    </w:p>
    <w:p>
      <w:pPr>
        <w:pStyle w:val="5"/>
        <w:spacing w:before="120" w:after="120" w:line="240" w:lineRule="auto"/>
        <w:rPr>
          <w:rFonts w:ascii="宋体" w:hAnsi="宋体" w:eastAsia="宋体"/>
          <w:bCs w:val="0"/>
          <w:color w:val="000000"/>
          <w:sz w:val="21"/>
          <w:szCs w:val="21"/>
        </w:rPr>
      </w:pPr>
      <w:bookmarkStart w:id="216" w:name="_Toc351203491"/>
      <w:r>
        <w:rPr>
          <w:rFonts w:ascii="宋体" w:hAnsi="宋体" w:eastAsia="宋体"/>
          <w:b w:val="0"/>
          <w:color w:val="000000"/>
          <w:sz w:val="21"/>
          <w:szCs w:val="21"/>
        </w:rPr>
        <w:t>十一、补充协议</w:t>
      </w:r>
      <w:bookmarkEnd w:id="216"/>
    </w:p>
    <w:p>
      <w:pPr>
        <w:ind w:firstLine="420" w:firstLineChars="200"/>
        <w:rPr>
          <w:rFonts w:ascii="宋体" w:hAnsi="宋体"/>
          <w:b/>
          <w:bCs/>
          <w:color w:val="000000"/>
          <w:szCs w:val="21"/>
        </w:rPr>
      </w:pPr>
      <w:r>
        <w:rPr>
          <w:rFonts w:ascii="宋体" w:hAnsi="宋体"/>
          <w:bCs/>
          <w:color w:val="000000"/>
          <w:szCs w:val="21"/>
        </w:rPr>
        <w:t>合同未尽事宜，合同当事人另行签订补充协议</w:t>
      </w:r>
      <w:r>
        <w:rPr>
          <w:rFonts w:hint="eastAsia" w:ascii="宋体" w:hAnsi="宋体"/>
          <w:bCs/>
          <w:color w:val="000000"/>
          <w:szCs w:val="21"/>
        </w:rPr>
        <w:t>，</w:t>
      </w:r>
      <w:r>
        <w:rPr>
          <w:rFonts w:ascii="宋体" w:hAnsi="宋体"/>
          <w:bCs/>
          <w:color w:val="000000"/>
          <w:szCs w:val="21"/>
        </w:rPr>
        <w:t>补充协议是合同的组成部分。</w:t>
      </w:r>
    </w:p>
    <w:p>
      <w:pPr>
        <w:pStyle w:val="5"/>
        <w:spacing w:before="120" w:after="120" w:line="240" w:lineRule="auto"/>
        <w:rPr>
          <w:rFonts w:ascii="宋体" w:hAnsi="宋体" w:eastAsia="宋体"/>
          <w:bCs w:val="0"/>
          <w:color w:val="000000"/>
          <w:sz w:val="21"/>
          <w:szCs w:val="21"/>
        </w:rPr>
      </w:pPr>
      <w:bookmarkStart w:id="217" w:name="_Toc351203492"/>
      <w:r>
        <w:rPr>
          <w:rFonts w:ascii="宋体" w:hAnsi="宋体" w:eastAsia="宋体"/>
          <w:b w:val="0"/>
          <w:color w:val="000000"/>
          <w:sz w:val="21"/>
          <w:szCs w:val="21"/>
        </w:rPr>
        <w:t>十二、合同生效</w:t>
      </w:r>
      <w:bookmarkEnd w:id="217"/>
    </w:p>
    <w:p>
      <w:pPr>
        <w:ind w:firstLine="420" w:firstLineChars="200"/>
        <w:rPr>
          <w:rFonts w:ascii="宋体" w:hAnsi="宋体"/>
          <w:bCs/>
          <w:color w:val="000000"/>
          <w:szCs w:val="21"/>
        </w:rPr>
      </w:pPr>
      <w:r>
        <w:rPr>
          <w:rFonts w:ascii="宋体" w:hAnsi="宋体"/>
          <w:bCs/>
          <w:color w:val="000000"/>
          <w:szCs w:val="21"/>
        </w:rPr>
        <w:t>本合同自生效。</w:t>
      </w:r>
    </w:p>
    <w:p>
      <w:pPr>
        <w:pStyle w:val="5"/>
        <w:spacing w:before="120" w:after="120" w:line="240" w:lineRule="auto"/>
        <w:rPr>
          <w:rFonts w:ascii="宋体" w:hAnsi="宋体" w:eastAsia="宋体"/>
          <w:bCs w:val="0"/>
          <w:color w:val="000000"/>
          <w:sz w:val="21"/>
          <w:szCs w:val="21"/>
        </w:rPr>
      </w:pPr>
      <w:bookmarkStart w:id="218" w:name="_Toc351203493"/>
      <w:r>
        <w:rPr>
          <w:rFonts w:ascii="宋体" w:hAnsi="宋体" w:eastAsia="宋体"/>
          <w:b w:val="0"/>
          <w:color w:val="000000"/>
          <w:sz w:val="21"/>
          <w:szCs w:val="21"/>
        </w:rPr>
        <w:t>十三、合同份数</w:t>
      </w:r>
      <w:bookmarkEnd w:id="218"/>
    </w:p>
    <w:p>
      <w:pPr>
        <w:ind w:firstLine="420" w:firstLineChars="200"/>
        <w:rPr>
          <w:rFonts w:ascii="宋体" w:hAnsi="宋体"/>
          <w:bCs/>
          <w:color w:val="000000"/>
          <w:szCs w:val="21"/>
        </w:rPr>
      </w:pPr>
      <w:r>
        <w:rPr>
          <w:rFonts w:ascii="宋体" w:hAnsi="宋体"/>
          <w:bCs/>
          <w:color w:val="000000"/>
          <w:szCs w:val="21"/>
        </w:rPr>
        <w:t>本合同一式份，均具有同等法律效力，发包人执份，承包人执份。</w:t>
      </w:r>
    </w:p>
    <w:p>
      <w:pPr>
        <w:spacing w:line="360" w:lineRule="auto"/>
        <w:rPr>
          <w:rFonts w:eastAsia="仿宋_GB2312"/>
          <w:bCs/>
          <w:color w:val="000000"/>
          <w:sz w:val="30"/>
          <w:szCs w:val="30"/>
        </w:rPr>
      </w:pPr>
    </w:p>
    <w:p>
      <w:pPr>
        <w:spacing w:line="360" w:lineRule="auto"/>
        <w:rPr>
          <w:rFonts w:eastAsia="仿宋_GB2312"/>
          <w:bCs/>
          <w:color w:val="000000"/>
          <w:sz w:val="30"/>
          <w:szCs w:val="30"/>
        </w:rPr>
      </w:pPr>
    </w:p>
    <w:p>
      <w:pPr>
        <w:spacing w:line="360" w:lineRule="auto"/>
        <w:rPr>
          <w:rFonts w:eastAsia="仿宋_GB2312"/>
          <w:bCs/>
          <w:color w:val="000000"/>
          <w:sz w:val="30"/>
          <w:szCs w:val="30"/>
        </w:rPr>
      </w:pPr>
    </w:p>
    <w:p>
      <w:pPr>
        <w:spacing w:line="360" w:lineRule="auto"/>
        <w:rPr>
          <w:rFonts w:eastAsia="仿宋_GB2312"/>
          <w:bCs/>
          <w:color w:val="000000"/>
          <w:sz w:val="30"/>
          <w:szCs w:val="30"/>
        </w:rPr>
      </w:pPr>
    </w:p>
    <w:p>
      <w:pPr>
        <w:spacing w:line="360" w:lineRule="auto"/>
        <w:rPr>
          <w:rFonts w:eastAsia="仿宋_GB2312"/>
          <w:bCs/>
          <w:color w:val="000000"/>
          <w:sz w:val="30"/>
          <w:szCs w:val="30"/>
        </w:rPr>
      </w:pPr>
    </w:p>
    <w:p>
      <w:pPr>
        <w:rPr>
          <w:rFonts w:ascii="宋体" w:hAnsi="宋体"/>
          <w:color w:val="000000"/>
          <w:szCs w:val="21"/>
        </w:rPr>
      </w:pPr>
      <w:r>
        <w:rPr>
          <w:rFonts w:ascii="宋体" w:hAnsi="宋体"/>
          <w:color w:val="000000"/>
          <w:szCs w:val="21"/>
        </w:rPr>
        <w:t>发包人</w:t>
      </w:r>
      <w:r>
        <w:rPr>
          <w:rFonts w:hint="eastAsia" w:ascii="宋体" w:hAnsi="宋体"/>
          <w:color w:val="000000"/>
          <w:szCs w:val="21"/>
        </w:rPr>
        <w:t xml:space="preserve">：  </w:t>
      </w:r>
      <w:r>
        <w:rPr>
          <w:rFonts w:ascii="宋体" w:hAnsi="宋体"/>
          <w:color w:val="000000"/>
          <w:szCs w:val="21"/>
        </w:rPr>
        <w:t>(公章)承包人</w:t>
      </w:r>
      <w:r>
        <w:rPr>
          <w:rFonts w:hint="eastAsia" w:ascii="宋体" w:hAnsi="宋体"/>
          <w:color w:val="000000"/>
          <w:szCs w:val="21"/>
        </w:rPr>
        <w:t xml:space="preserve">：  </w:t>
      </w:r>
      <w:r>
        <w:rPr>
          <w:rFonts w:ascii="宋体" w:hAnsi="宋体"/>
          <w:color w:val="000000"/>
          <w:szCs w:val="21"/>
        </w:rPr>
        <w:t>(公章)</w:t>
      </w:r>
    </w:p>
    <w:p>
      <w:pPr>
        <w:rPr>
          <w:rFonts w:ascii="宋体" w:hAnsi="宋体"/>
          <w:color w:val="000000"/>
          <w:szCs w:val="21"/>
          <w:u w:val="single"/>
        </w:rPr>
      </w:pPr>
    </w:p>
    <w:p>
      <w:pPr>
        <w:rPr>
          <w:rFonts w:ascii="宋体" w:hAnsi="宋体"/>
          <w:color w:val="000000"/>
          <w:szCs w:val="21"/>
        </w:rPr>
      </w:pPr>
      <w:r>
        <w:rPr>
          <w:rFonts w:hint="eastAsia" w:ascii="宋体" w:hAnsi="宋体"/>
          <w:color w:val="000000"/>
          <w:szCs w:val="21"/>
        </w:rPr>
        <w:t>法定代表人或其委托代理人：                      法定代表人或其委托代理人：</w:t>
      </w:r>
    </w:p>
    <w:p>
      <w:pPr>
        <w:rPr>
          <w:rFonts w:ascii="宋体" w:hAnsi="宋体"/>
          <w:color w:val="000000"/>
          <w:szCs w:val="21"/>
        </w:rPr>
      </w:pPr>
      <w:r>
        <w:rPr>
          <w:rFonts w:hint="eastAsia" w:ascii="宋体" w:hAnsi="宋体"/>
          <w:color w:val="000000"/>
          <w:szCs w:val="21"/>
        </w:rPr>
        <w:t>（签字）                                       （签字）</w:t>
      </w:r>
    </w:p>
    <w:p>
      <w:pPr>
        <w:rPr>
          <w:rFonts w:ascii="宋体" w:hAnsi="宋体"/>
          <w:color w:val="000000"/>
          <w:szCs w:val="21"/>
          <w:u w:val="single"/>
        </w:rPr>
      </w:pPr>
    </w:p>
    <w:p>
      <w:pPr>
        <w:tabs>
          <w:tab w:val="left" w:pos="4410"/>
        </w:tabs>
        <w:rPr>
          <w:rFonts w:ascii="宋体" w:hAnsi="宋体"/>
          <w:color w:val="000000"/>
          <w:szCs w:val="21"/>
        </w:rPr>
      </w:pPr>
      <w:r>
        <w:rPr>
          <w:rFonts w:hint="eastAsia" w:ascii="宋体" w:hAnsi="宋体"/>
          <w:color w:val="000000"/>
          <w:szCs w:val="21"/>
        </w:rPr>
        <w:t>组织机构代码：</w:t>
      </w:r>
      <w:r>
        <w:rPr>
          <w:rFonts w:ascii="宋体" w:hAnsi="宋体"/>
          <w:color w:val="000000"/>
          <w:szCs w:val="21"/>
          <w:u w:val="single"/>
        </w:rPr>
        <w:t xml:space="preserve">      </w:t>
      </w:r>
      <w:r>
        <w:rPr>
          <w:rFonts w:hint="eastAsia" w:ascii="宋体" w:hAnsi="宋体"/>
          <w:color w:val="000000"/>
          <w:szCs w:val="21"/>
        </w:rPr>
        <w:t xml:space="preserve">                 组织机构代码：</w:t>
      </w:r>
      <w:r>
        <w:rPr>
          <w:rFonts w:ascii="宋体" w:hAnsi="宋体"/>
          <w:color w:val="000000"/>
          <w:szCs w:val="21"/>
          <w:u w:val="single"/>
        </w:rPr>
        <w:t xml:space="preserve">   </w:t>
      </w:r>
    </w:p>
    <w:p>
      <w:pPr>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    </w:t>
      </w:r>
      <w:r>
        <w:rPr>
          <w:rFonts w:ascii="宋体" w:hAnsi="宋体"/>
          <w:color w:val="000000"/>
          <w:szCs w:val="21"/>
        </w:rPr>
        <w:t>地  址：</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  </w:t>
      </w:r>
      <w:r>
        <w:rPr>
          <w:rFonts w:ascii="宋体" w:hAnsi="宋体"/>
          <w:color w:val="000000"/>
          <w:szCs w:val="21"/>
        </w:rPr>
        <w:t>邮政编码：</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rPr>
        <w:t>法定代表人：</w:t>
      </w:r>
      <w:r>
        <w:rPr>
          <w:rFonts w:ascii="宋体" w:hAnsi="宋体"/>
          <w:color w:val="000000"/>
          <w:szCs w:val="21"/>
          <w:u w:val="single"/>
        </w:rPr>
        <w:t></w:t>
      </w:r>
      <w:r>
        <w:rPr>
          <w:rFonts w:ascii="宋体" w:hAnsi="宋体"/>
          <w:color w:val="000000"/>
          <w:szCs w:val="21"/>
        </w:rPr>
        <w:t>法定代表人：</w:t>
      </w:r>
      <w:r>
        <w:rPr>
          <w:rFonts w:ascii="宋体" w:hAnsi="宋体"/>
          <w:color w:val="000000"/>
          <w:szCs w:val="21"/>
          <w:u w:val="single"/>
        </w:rPr>
        <w:t></w:t>
      </w:r>
    </w:p>
    <w:p>
      <w:pPr>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ascii="宋体" w:hAnsi="宋体"/>
          <w:color w:val="000000"/>
          <w:szCs w:val="21"/>
        </w:rPr>
        <w:t>委托代理人：</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rPr>
        <w:t>电  话：</w:t>
      </w:r>
      <w:r>
        <w:rPr>
          <w:rFonts w:ascii="宋体" w:hAnsi="宋体"/>
          <w:color w:val="000000"/>
          <w:szCs w:val="21"/>
          <w:u w:val="single"/>
        </w:rPr>
        <w:t></w:t>
      </w:r>
      <w:r>
        <w:rPr>
          <w:rFonts w:ascii="宋体" w:hAnsi="宋体"/>
          <w:color w:val="000000"/>
          <w:szCs w:val="21"/>
        </w:rPr>
        <w:t>电  话：</w:t>
      </w:r>
      <w:r>
        <w:rPr>
          <w:rFonts w:ascii="宋体" w:hAnsi="宋体"/>
          <w:color w:val="000000"/>
          <w:szCs w:val="21"/>
          <w:u w:val="single"/>
        </w:rPr>
        <w:t></w:t>
      </w:r>
    </w:p>
    <w:p>
      <w:pPr>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ascii="宋体" w:hAnsi="宋体"/>
          <w:color w:val="000000"/>
          <w:szCs w:val="21"/>
        </w:rPr>
        <w:t>传  真：</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rPr>
        <w:t>电子信箱：电子信箱：</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开户银行：</w:t>
      </w:r>
      <w:r>
        <w:rPr>
          <w:rFonts w:ascii="宋体" w:hAnsi="宋体"/>
          <w:color w:val="000000"/>
          <w:szCs w:val="21"/>
          <w:u w:val="single"/>
        </w:rPr>
        <w:t xml:space="preserve">   </w:t>
      </w:r>
    </w:p>
    <w:p>
      <w:pPr>
        <w:rPr>
          <w:rFonts w:eastAsia="仿宋_GB2312"/>
          <w:color w:val="000000"/>
          <w:sz w:val="30"/>
          <w:szCs w:val="30"/>
        </w:rPr>
      </w:pPr>
      <w:r>
        <w:rPr>
          <w:rFonts w:ascii="宋体" w:hAnsi="宋体"/>
          <w:color w:val="000000"/>
          <w:szCs w:val="21"/>
        </w:rPr>
        <w:t>账  号：</w:t>
      </w:r>
      <w:r>
        <w:rPr>
          <w:rFonts w:ascii="宋体" w:hAnsi="宋体"/>
          <w:color w:val="000000"/>
          <w:szCs w:val="21"/>
          <w:u w:val="single"/>
        </w:rPr>
        <w:t xml:space="preserve">       </w:t>
      </w:r>
      <w:r>
        <w:rPr>
          <w:rFonts w:ascii="宋体" w:hAnsi="宋体"/>
          <w:color w:val="000000"/>
          <w:szCs w:val="21"/>
        </w:rPr>
        <w:t>账 号：</w:t>
      </w:r>
      <w:r>
        <w:rPr>
          <w:rFonts w:ascii="宋体" w:hAnsi="宋体"/>
          <w:color w:val="000000"/>
          <w:szCs w:val="21"/>
          <w:u w:val="single"/>
        </w:rPr>
        <w:t></w:t>
      </w:r>
    </w:p>
    <w:p>
      <w:pPr>
        <w:jc w:val="center"/>
        <w:rPr>
          <w:rFonts w:ascii="黑体" w:eastAsia="黑体"/>
          <w:sz w:val="30"/>
          <w:szCs w:val="30"/>
        </w:rPr>
      </w:pPr>
      <w:r>
        <w:rPr>
          <w:rFonts w:hint="eastAsia" w:ascii="黑体" w:eastAsia="黑体"/>
          <w:sz w:val="30"/>
          <w:szCs w:val="30"/>
        </w:rPr>
        <w:br w:type="page"/>
      </w:r>
      <w:r>
        <w:rPr>
          <w:rFonts w:hint="eastAsia" w:ascii="黑体" w:eastAsia="黑体"/>
          <w:sz w:val="30"/>
          <w:szCs w:val="30"/>
        </w:rPr>
        <w:t>第二部分  通用合同条款</w:t>
      </w:r>
    </w:p>
    <w:p>
      <w:pPr>
        <w:jc w:val="center"/>
        <w:rPr>
          <w:rFonts w:ascii="黑体" w:eastAsia="黑体"/>
          <w:sz w:val="30"/>
          <w:szCs w:val="30"/>
        </w:rPr>
      </w:pPr>
    </w:p>
    <w:p>
      <w:pPr>
        <w:rPr>
          <w:b/>
          <w:color w:val="FF0000"/>
        </w:rPr>
      </w:pPr>
      <w:r>
        <w:rPr>
          <w:rFonts w:hint="eastAsia"/>
          <w:b/>
          <w:color w:val="FF0000"/>
        </w:rPr>
        <w:t>通用合同条款直接引用《山东省建设工程施工合同》（示范文本）（SDF-2019-0002）中的通用条款部分。</w:t>
      </w:r>
    </w:p>
    <w:p>
      <w:pPr>
        <w:jc w:val="center"/>
        <w:rPr>
          <w:rFonts w:ascii="黑体" w:eastAsia="黑体"/>
          <w:sz w:val="30"/>
          <w:szCs w:val="30"/>
        </w:rPr>
      </w:pPr>
      <w:r>
        <w:br w:type="page"/>
      </w:r>
      <w:r>
        <w:rPr>
          <w:rFonts w:hint="eastAsia" w:ascii="黑体" w:eastAsia="黑体"/>
          <w:sz w:val="30"/>
          <w:szCs w:val="30"/>
        </w:rPr>
        <w:t>第三部分  专用合同条款</w:t>
      </w:r>
    </w:p>
    <w:p>
      <w:pPr>
        <w:pStyle w:val="5"/>
        <w:spacing w:before="120" w:after="120" w:line="360" w:lineRule="auto"/>
        <w:rPr>
          <w:rFonts w:ascii="宋体" w:hAnsi="宋体" w:eastAsia="宋体"/>
          <w:b w:val="0"/>
          <w:sz w:val="21"/>
          <w:szCs w:val="21"/>
        </w:rPr>
      </w:pPr>
      <w:bookmarkStart w:id="219" w:name="_Toc351203633"/>
      <w:r>
        <w:rPr>
          <w:rFonts w:ascii="宋体" w:hAnsi="宋体" w:eastAsia="宋体"/>
          <w:b w:val="0"/>
          <w:sz w:val="21"/>
          <w:szCs w:val="21"/>
        </w:rPr>
        <w:t>1</w:t>
      </w:r>
      <w:bookmarkStart w:id="220" w:name="_Toc296503156"/>
      <w:bookmarkStart w:id="221" w:name="_Toc297048342"/>
      <w:bookmarkStart w:id="222" w:name="_Toc296346657"/>
      <w:bookmarkStart w:id="223" w:name="_Toc292559361"/>
      <w:bookmarkStart w:id="224" w:name="_Toc296890984"/>
      <w:bookmarkStart w:id="225" w:name="_Toc297120456"/>
      <w:bookmarkStart w:id="226" w:name="_Toc296944495"/>
      <w:bookmarkStart w:id="227" w:name="_Toc296347155"/>
      <w:bookmarkStart w:id="228" w:name="_Toc296891196"/>
      <w:bookmarkStart w:id="229" w:name="_Toc292559866"/>
      <w:r>
        <w:rPr>
          <w:rFonts w:ascii="宋体" w:hAnsi="宋体" w:eastAsia="宋体"/>
          <w:b w:val="0"/>
          <w:sz w:val="21"/>
          <w:szCs w:val="21"/>
        </w:rPr>
        <w:t>.一般约定</w:t>
      </w:r>
      <w:bookmarkEnd w:id="219"/>
    </w:p>
    <w:bookmarkEnd w:id="220"/>
    <w:bookmarkEnd w:id="221"/>
    <w:bookmarkEnd w:id="222"/>
    <w:bookmarkEnd w:id="223"/>
    <w:bookmarkEnd w:id="224"/>
    <w:bookmarkEnd w:id="225"/>
    <w:bookmarkEnd w:id="226"/>
    <w:bookmarkEnd w:id="227"/>
    <w:bookmarkEnd w:id="228"/>
    <w:bookmarkEnd w:id="229"/>
    <w:p>
      <w:pPr>
        <w:spacing w:after="120" w:line="360" w:lineRule="auto"/>
        <w:ind w:firstLine="420" w:firstLineChars="200"/>
        <w:outlineLvl w:val="0"/>
        <w:rPr>
          <w:rFonts w:ascii="宋体" w:hAnsi="宋体"/>
          <w:szCs w:val="21"/>
        </w:rPr>
      </w:pPr>
      <w:r>
        <w:rPr>
          <w:rFonts w:ascii="宋体" w:hAnsi="宋体"/>
          <w:szCs w:val="21"/>
        </w:rPr>
        <w:t>1.1词语定义</w:t>
      </w:r>
    </w:p>
    <w:p>
      <w:pPr>
        <w:spacing w:line="360" w:lineRule="auto"/>
        <w:ind w:firstLine="420" w:firstLineChars="200"/>
        <w:rPr>
          <w:rFonts w:ascii="宋体" w:hAnsi="宋体"/>
          <w:kern w:val="0"/>
          <w:szCs w:val="21"/>
        </w:rPr>
      </w:pPr>
      <w:r>
        <w:rPr>
          <w:rFonts w:ascii="宋体" w:hAnsi="宋体"/>
          <w:kern w:val="0"/>
          <w:szCs w:val="21"/>
        </w:rPr>
        <w:t>1.1.1合同</w:t>
      </w:r>
    </w:p>
    <w:p>
      <w:pPr>
        <w:spacing w:line="360" w:lineRule="auto"/>
        <w:ind w:firstLine="420" w:firstLineChars="200"/>
        <w:rPr>
          <w:rFonts w:ascii="宋体" w:hAnsi="宋体"/>
          <w:kern w:val="0"/>
          <w:szCs w:val="21"/>
        </w:rPr>
      </w:pPr>
      <w:r>
        <w:rPr>
          <w:rFonts w:ascii="宋体" w:hAnsi="宋体"/>
          <w:kern w:val="0"/>
          <w:szCs w:val="21"/>
        </w:rPr>
        <w:t>1.1.1.10其他合同文件包括：</w:t>
      </w:r>
      <w:r>
        <w:rPr>
          <w:rFonts w:ascii="宋体" w:hAnsi="宋体"/>
          <w:szCs w:val="21"/>
          <w:u w:val="single"/>
        </w:rPr>
        <w:t xml:space="preserve">                      </w:t>
      </w:r>
    </w:p>
    <w:p>
      <w:pPr>
        <w:spacing w:line="360" w:lineRule="auto"/>
        <w:ind w:left="1155" w:hanging="1155" w:hangingChars="550"/>
        <w:rPr>
          <w:rFonts w:ascii="宋体" w:hAnsi="宋体"/>
          <w:szCs w:val="21"/>
          <w:u w:val="single"/>
        </w:rPr>
      </w:pPr>
      <w:r>
        <w:rPr>
          <w:rFonts w:ascii="宋体" w:hAnsi="宋体"/>
          <w:szCs w:val="21"/>
          <w:u w:val="single"/>
        </w:rPr>
        <w:t></w:t>
      </w:r>
    </w:p>
    <w:p>
      <w:pPr>
        <w:spacing w:line="360" w:lineRule="auto"/>
        <w:ind w:left="1155" w:hanging="1155" w:hangingChars="550"/>
        <w:rPr>
          <w:rFonts w:ascii="宋体" w:hAnsi="宋体"/>
          <w:kern w:val="0"/>
          <w:szCs w:val="21"/>
        </w:rPr>
      </w:pPr>
      <w:r>
        <w:rPr>
          <w:rFonts w:ascii="宋体" w:hAnsi="宋体"/>
          <w:szCs w:val="21"/>
        </w:rPr>
        <w:t>。</w:t>
      </w:r>
    </w:p>
    <w:p>
      <w:pPr>
        <w:spacing w:line="360" w:lineRule="auto"/>
        <w:ind w:firstLine="420" w:firstLineChars="200"/>
        <w:rPr>
          <w:rFonts w:ascii="宋体" w:hAnsi="宋体"/>
          <w:szCs w:val="21"/>
        </w:rPr>
      </w:pPr>
      <w:r>
        <w:rPr>
          <w:rFonts w:ascii="宋体" w:hAnsi="宋体"/>
          <w:szCs w:val="21"/>
        </w:rPr>
        <w:t>1.1.2合同当事人及其他相关方</w:t>
      </w:r>
    </w:p>
    <w:p>
      <w:pPr>
        <w:spacing w:line="360" w:lineRule="auto"/>
        <w:ind w:firstLine="420" w:firstLineChars="200"/>
        <w:rPr>
          <w:rFonts w:ascii="宋体" w:hAnsi="宋体"/>
          <w:szCs w:val="21"/>
        </w:rPr>
      </w:pPr>
      <w:r>
        <w:rPr>
          <w:rFonts w:ascii="宋体" w:hAnsi="宋体"/>
          <w:szCs w:val="21"/>
        </w:rPr>
        <w:t>1.1.2.4监理人：</w:t>
      </w:r>
    </w:p>
    <w:p>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1.1.2.5设计人：</w:t>
      </w:r>
    </w:p>
    <w:p>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1.1.3工程和设备</w:t>
      </w:r>
    </w:p>
    <w:p>
      <w:pPr>
        <w:spacing w:line="360" w:lineRule="auto"/>
        <w:ind w:firstLine="420" w:firstLineChars="200"/>
        <w:rPr>
          <w:rFonts w:ascii="宋体" w:hAnsi="宋体"/>
          <w:szCs w:val="21"/>
          <w:u w:val="single"/>
        </w:rPr>
      </w:pPr>
      <w:r>
        <w:rPr>
          <w:rFonts w:ascii="宋体" w:hAnsi="宋体"/>
          <w:szCs w:val="21"/>
        </w:rPr>
        <w:t>1.1.3.7作为施工现场组成部分的其他场所包括：</w:t>
      </w:r>
    </w:p>
    <w:p>
      <w:pPr>
        <w:spacing w:line="360" w:lineRule="auto"/>
        <w:rPr>
          <w:rFonts w:ascii="宋体" w:hAnsi="宋体"/>
          <w:szCs w:val="21"/>
        </w:rPr>
      </w:pPr>
      <w:r>
        <w:rPr>
          <w:rFonts w:ascii="宋体" w:hAnsi="宋体"/>
          <w:szCs w:val="21"/>
          <w:u w:val="single"/>
        </w:rPr>
        <w:t>                            </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1.1.3.9永久占地包括：</w:t>
      </w:r>
      <w:r>
        <w:rPr>
          <w:rFonts w:ascii="宋体" w:hAnsi="宋体"/>
          <w:szCs w:val="21"/>
          <w:u w:val="single"/>
        </w:rPr>
        <w:t xml:space="preserve">                </w:t>
      </w: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kern w:val="0"/>
          <w:szCs w:val="21"/>
        </w:rPr>
        <w:t>1.1.3.10临时占地包括：</w:t>
      </w:r>
      <w:r>
        <w:rPr>
          <w:rFonts w:ascii="宋体" w:hAnsi="宋体"/>
          <w:szCs w:val="21"/>
          <w:u w:val="single"/>
        </w:rPr>
        <w:t xml:space="preserve">               </w:t>
      </w:r>
      <w:r>
        <w:rPr>
          <w:rFonts w:ascii="宋体" w:hAnsi="宋体"/>
          <w:kern w:val="0"/>
          <w:szCs w:val="21"/>
        </w:rPr>
        <w:t>。</w:t>
      </w:r>
    </w:p>
    <w:p>
      <w:pPr>
        <w:spacing w:after="120" w:line="360" w:lineRule="auto"/>
        <w:ind w:firstLine="420" w:firstLineChars="200"/>
        <w:rPr>
          <w:rFonts w:ascii="宋体" w:hAnsi="宋体"/>
          <w:szCs w:val="21"/>
        </w:rPr>
      </w:pPr>
      <w:r>
        <w:rPr>
          <w:rFonts w:ascii="宋体" w:hAnsi="宋体"/>
          <w:szCs w:val="21"/>
        </w:rPr>
        <w:t>1.3法律</w:t>
      </w:r>
    </w:p>
    <w:p>
      <w:pPr>
        <w:autoSpaceDE w:val="0"/>
        <w:autoSpaceDN w:val="0"/>
        <w:adjustRightInd w:val="0"/>
        <w:spacing w:line="360" w:lineRule="auto"/>
        <w:ind w:left="596" w:leftChars="284"/>
        <w:jc w:val="left"/>
        <w:rPr>
          <w:rFonts w:ascii="宋体" w:hAnsi="宋体"/>
          <w:szCs w:val="21"/>
          <w:u w:val="single"/>
        </w:rPr>
      </w:pPr>
      <w:r>
        <w:rPr>
          <w:rFonts w:ascii="宋体" w:hAnsi="宋体"/>
          <w:szCs w:val="21"/>
        </w:rPr>
        <w:t>适用于合同的其他规范性文件：</w:t>
      </w:r>
      <w:r>
        <w:rPr>
          <w:rFonts w:ascii="宋体" w:hAnsi="宋体"/>
          <w:szCs w:val="21"/>
          <w:u w:val="single"/>
        </w:rPr>
        <w:t></w:t>
      </w:r>
    </w:p>
    <w:p>
      <w:pPr>
        <w:autoSpaceDE w:val="0"/>
        <w:autoSpaceDN w:val="0"/>
        <w:adjustRightInd w:val="0"/>
        <w:spacing w:line="360" w:lineRule="auto"/>
        <w:jc w:val="left"/>
        <w:rPr>
          <w:rFonts w:ascii="宋体" w:hAnsi="宋体"/>
          <w:szCs w:val="21"/>
        </w:rPr>
      </w:pP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1.4标准和规范</w:t>
      </w:r>
    </w:p>
    <w:p>
      <w:pPr>
        <w:spacing w:line="360" w:lineRule="auto"/>
        <w:ind w:left="596" w:leftChars="284"/>
        <w:rPr>
          <w:rFonts w:ascii="宋体" w:hAnsi="宋体"/>
          <w:szCs w:val="21"/>
        </w:rPr>
      </w:pPr>
      <w:r>
        <w:rPr>
          <w:rFonts w:ascii="宋体" w:hAnsi="宋体"/>
          <w:szCs w:val="21"/>
        </w:rPr>
        <w:t>1.4.1适用于工程的标准规范包括：</w:t>
      </w:r>
      <w:r>
        <w:rPr>
          <w:rFonts w:ascii="宋体" w:hAnsi="宋体"/>
          <w:szCs w:val="21"/>
          <w:u w:val="single"/>
        </w:rPr>
        <w:t></w:t>
      </w:r>
    </w:p>
    <w:p>
      <w:pPr>
        <w:spacing w:line="360" w:lineRule="auto"/>
        <w:rPr>
          <w:rFonts w:ascii="宋体" w:hAnsi="宋体"/>
          <w:szCs w:val="21"/>
        </w:rPr>
      </w:pPr>
      <w:r>
        <w:rPr>
          <w:rFonts w:ascii="宋体" w:hAnsi="宋体"/>
          <w:szCs w:val="21"/>
          <w:u w:val="single"/>
        </w:rPr>
        <w:t>  </w:t>
      </w:r>
      <w:r>
        <w:rPr>
          <w:rFonts w:ascii="宋体" w:hAnsi="宋体"/>
          <w:szCs w:val="21"/>
        </w:rPr>
        <w:t>。</w:t>
      </w:r>
    </w:p>
    <w:p>
      <w:pPr>
        <w:spacing w:line="360" w:lineRule="auto"/>
        <w:ind w:firstLine="420" w:firstLineChars="200"/>
        <w:outlineLvl w:val="0"/>
        <w:rPr>
          <w:rFonts w:ascii="宋体" w:hAnsi="宋体"/>
          <w:kern w:val="0"/>
          <w:szCs w:val="21"/>
          <w:u w:val="single"/>
        </w:rPr>
      </w:pPr>
      <w:r>
        <w:rPr>
          <w:rFonts w:ascii="宋体" w:hAnsi="宋体"/>
          <w:kern w:val="0"/>
          <w:szCs w:val="21"/>
        </w:rPr>
        <w:t>1.4.2发包人提供国外标准、规范的名称：</w:t>
      </w:r>
    </w:p>
    <w:p>
      <w:pPr>
        <w:spacing w:line="360" w:lineRule="auto"/>
        <w:rPr>
          <w:rFonts w:ascii="宋体" w:hAnsi="宋体"/>
          <w:kern w:val="0"/>
          <w:szCs w:val="21"/>
        </w:rPr>
      </w:pP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发包人提供国外标准、规范的份数：；</w:t>
      </w:r>
    </w:p>
    <w:p>
      <w:pPr>
        <w:spacing w:line="360" w:lineRule="auto"/>
        <w:ind w:firstLine="420" w:firstLineChars="200"/>
        <w:rPr>
          <w:rFonts w:ascii="宋体" w:hAnsi="宋体"/>
          <w:szCs w:val="21"/>
        </w:rPr>
      </w:pPr>
      <w:r>
        <w:rPr>
          <w:rFonts w:ascii="宋体" w:hAnsi="宋体"/>
          <w:kern w:val="0"/>
          <w:szCs w:val="21"/>
        </w:rPr>
        <w:t>发包人提供国外标准、规范的</w:t>
      </w:r>
      <w:r>
        <w:rPr>
          <w:rFonts w:hint="eastAsia" w:ascii="宋体" w:hAnsi="宋体"/>
          <w:kern w:val="0"/>
          <w:szCs w:val="21"/>
        </w:rPr>
        <w:t>时间</w:t>
      </w:r>
      <w:r>
        <w:rPr>
          <w:rFonts w:ascii="宋体" w:hAnsi="宋体"/>
          <w:kern w:val="0"/>
          <w:szCs w:val="21"/>
        </w:rPr>
        <w:t>：。</w:t>
      </w:r>
    </w:p>
    <w:p>
      <w:pPr>
        <w:spacing w:line="360" w:lineRule="auto"/>
        <w:ind w:left="596" w:leftChars="284"/>
        <w:rPr>
          <w:rFonts w:ascii="宋体" w:hAnsi="宋体"/>
          <w:szCs w:val="21"/>
        </w:rPr>
      </w:pPr>
      <w:r>
        <w:rPr>
          <w:rFonts w:ascii="宋体" w:hAnsi="宋体"/>
          <w:szCs w:val="21"/>
        </w:rPr>
        <w:t>1.4.3发包人对工程的技术标准和功能要求的特殊要求：</w:t>
      </w:r>
    </w:p>
    <w:p>
      <w:pPr>
        <w:spacing w:line="360" w:lineRule="auto"/>
        <w:rPr>
          <w:rFonts w:ascii="宋体" w:hAnsi="宋体"/>
          <w:szCs w:val="21"/>
        </w:rPr>
      </w:pPr>
      <w:r>
        <w:rPr>
          <w:rFonts w:ascii="宋体" w:hAnsi="宋体"/>
          <w:szCs w:val="21"/>
          <w:u w:val="single"/>
        </w:rPr>
        <w:t xml:space="preserve">       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1.5合同文件的优先顺序</w:t>
      </w:r>
    </w:p>
    <w:p>
      <w:pPr>
        <w:spacing w:line="360" w:lineRule="auto"/>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1.6图纸和承包人文件</w:t>
      </w:r>
      <w:r>
        <w:rPr>
          <w:rFonts w:ascii="宋体" w:hAnsi="宋体"/>
          <w:szCs w:val="21"/>
        </w:rPr>
        <w:tab/>
      </w:r>
    </w:p>
    <w:p>
      <w:pPr>
        <w:spacing w:line="360" w:lineRule="auto"/>
        <w:ind w:firstLine="420" w:firstLineChars="200"/>
        <w:rPr>
          <w:rFonts w:ascii="宋体" w:hAnsi="宋体"/>
          <w:szCs w:val="21"/>
        </w:rPr>
      </w:pPr>
      <w:r>
        <w:rPr>
          <w:rFonts w:ascii="宋体" w:hAnsi="宋体"/>
          <w:szCs w:val="21"/>
        </w:rPr>
        <w:t>1.6.1图纸的提供</w:t>
      </w:r>
    </w:p>
    <w:p>
      <w:pPr>
        <w:spacing w:line="360" w:lineRule="auto"/>
        <w:ind w:firstLine="420" w:firstLineChars="20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1.6.4承包人文件</w:t>
      </w:r>
    </w:p>
    <w:p>
      <w:pPr>
        <w:spacing w:line="360" w:lineRule="auto"/>
        <w:ind w:left="596" w:leftChars="284"/>
        <w:jc w:val="left"/>
        <w:rPr>
          <w:rFonts w:ascii="宋体" w:hAnsi="宋体"/>
          <w:szCs w:val="21"/>
          <w:u w:val="single"/>
        </w:rPr>
      </w:pPr>
      <w:r>
        <w:rPr>
          <w:rFonts w:ascii="宋体" w:hAnsi="宋体"/>
          <w:szCs w:val="21"/>
        </w:rPr>
        <w:t>需要由承包人提供的文件，包括：</w:t>
      </w:r>
      <w:r>
        <w:rPr>
          <w:rFonts w:ascii="宋体" w:hAnsi="宋体"/>
          <w:szCs w:val="21"/>
          <w:u w:val="single"/>
        </w:rPr>
        <w:t></w:t>
      </w:r>
    </w:p>
    <w:p>
      <w:pPr>
        <w:spacing w:line="360" w:lineRule="auto"/>
        <w:ind w:left="596" w:leftChars="284"/>
        <w:jc w:val="left"/>
        <w:rPr>
          <w:rFonts w:ascii="宋体" w:hAnsi="宋体"/>
          <w:szCs w:val="21"/>
        </w:rPr>
      </w:pP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1.6.5现场图纸准备</w:t>
      </w:r>
    </w:p>
    <w:p>
      <w:pPr>
        <w:spacing w:line="360" w:lineRule="auto"/>
        <w:ind w:firstLine="420" w:firstLineChars="20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1.7联络</w:t>
      </w:r>
    </w:p>
    <w:p>
      <w:pPr>
        <w:spacing w:line="360" w:lineRule="auto"/>
        <w:ind w:firstLine="420" w:firstLineChars="20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1.7.2发包人接收文件的地点：</w:t>
      </w:r>
      <w:r>
        <w:rPr>
          <w:rFonts w:ascii="宋体" w:hAnsi="宋体"/>
          <w:szCs w:val="21"/>
          <w:u w:val="single"/>
        </w:rPr>
        <w:t>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1.10交通运输</w:t>
      </w:r>
    </w:p>
    <w:p>
      <w:pPr>
        <w:spacing w:line="360" w:lineRule="auto"/>
        <w:ind w:firstLine="420" w:firstLineChars="200"/>
        <w:outlineLvl w:val="0"/>
        <w:rPr>
          <w:rFonts w:ascii="宋体" w:hAnsi="宋体"/>
          <w:szCs w:val="21"/>
        </w:rPr>
      </w:pPr>
      <w:r>
        <w:rPr>
          <w:rFonts w:ascii="宋体" w:hAnsi="宋体"/>
          <w:szCs w:val="21"/>
        </w:rPr>
        <w:t>1</w:t>
      </w:r>
      <w:bookmarkStart w:id="230" w:name="_Toc318581155"/>
      <w:bookmarkStart w:id="231" w:name="_Toc304295521"/>
      <w:bookmarkStart w:id="232" w:name="_Toc303539100"/>
      <w:bookmarkStart w:id="233" w:name="_Toc312677986"/>
      <w:bookmarkStart w:id="234" w:name="_Toc300934943"/>
      <w:r>
        <w:rPr>
          <w:rFonts w:ascii="宋体" w:hAnsi="宋体"/>
          <w:szCs w:val="21"/>
        </w:rPr>
        <w:t>.10.1出入现场的权利</w:t>
      </w:r>
    </w:p>
    <w:p>
      <w:pPr>
        <w:spacing w:line="360" w:lineRule="auto"/>
        <w:ind w:left="596" w:leftChars="284"/>
        <w:rPr>
          <w:rFonts w:ascii="宋体" w:hAnsi="宋体"/>
          <w:szCs w:val="21"/>
          <w:u w:val="single"/>
        </w:rPr>
      </w:pPr>
      <w:r>
        <w:rPr>
          <w:rFonts w:ascii="宋体" w:hAnsi="宋体"/>
          <w:szCs w:val="21"/>
        </w:rPr>
        <w:t>关于出入现场的权利的约定：</w:t>
      </w:r>
      <w:r>
        <w:rPr>
          <w:rFonts w:ascii="宋体" w:hAnsi="宋体"/>
          <w:szCs w:val="21"/>
          <w:u w:val="single"/>
        </w:rPr>
        <w:t> </w:t>
      </w:r>
    </w:p>
    <w:p>
      <w:pPr>
        <w:spacing w:line="360" w:lineRule="auto"/>
        <w:rPr>
          <w:rFonts w:ascii="宋体" w:hAnsi="宋体"/>
          <w:szCs w:val="21"/>
        </w:rPr>
      </w:pPr>
      <w:r>
        <w:rPr>
          <w:rFonts w:ascii="宋体" w:hAnsi="宋体"/>
          <w:szCs w:val="21"/>
          <w:u w:val="single"/>
        </w:rPr>
        <w:t> </w:t>
      </w:r>
      <w:r>
        <w:rPr>
          <w:rFonts w:ascii="宋体" w:hAnsi="宋体"/>
          <w:szCs w:val="21"/>
        </w:rPr>
        <w:t>。</w:t>
      </w:r>
    </w:p>
    <w:bookmarkEnd w:id="230"/>
    <w:bookmarkEnd w:id="231"/>
    <w:bookmarkEnd w:id="232"/>
    <w:bookmarkEnd w:id="233"/>
    <w:bookmarkEnd w:id="234"/>
    <w:p>
      <w:pPr>
        <w:spacing w:line="360" w:lineRule="auto"/>
        <w:ind w:firstLine="420" w:firstLineChars="200"/>
        <w:jc w:val="left"/>
        <w:outlineLvl w:val="0"/>
        <w:rPr>
          <w:rFonts w:ascii="宋体" w:hAnsi="宋体"/>
          <w:szCs w:val="21"/>
        </w:rPr>
      </w:pPr>
      <w:r>
        <w:rPr>
          <w:rFonts w:ascii="宋体" w:hAnsi="宋体"/>
          <w:szCs w:val="21"/>
        </w:rPr>
        <w:t>1</w:t>
      </w:r>
      <w:bookmarkStart w:id="235" w:name="_Toc303539101"/>
      <w:bookmarkStart w:id="236" w:name="_Toc300934944"/>
      <w:bookmarkStart w:id="237" w:name="_Toc312677987"/>
      <w:bookmarkStart w:id="238" w:name="_Toc318581156"/>
      <w:bookmarkStart w:id="239" w:name="_Toc304295522"/>
      <w:r>
        <w:rPr>
          <w:rFonts w:ascii="宋体" w:hAnsi="宋体"/>
          <w:szCs w:val="21"/>
        </w:rPr>
        <w:t>.10.3场内交通</w:t>
      </w:r>
    </w:p>
    <w:p>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  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             </w:t>
      </w:r>
      <w:r>
        <w:rPr>
          <w:rFonts w:ascii="宋体" w:hAnsi="宋体"/>
          <w:szCs w:val="21"/>
        </w:rPr>
        <w:t>。</w:t>
      </w:r>
      <w:bookmarkEnd w:id="235"/>
      <w:bookmarkEnd w:id="236"/>
      <w:bookmarkEnd w:id="237"/>
      <w:bookmarkEnd w:id="238"/>
      <w:bookmarkEnd w:id="239"/>
      <w:bookmarkStart w:id="240" w:name="_Toc318581157"/>
    </w:p>
    <w:p>
      <w:pPr>
        <w:spacing w:line="360" w:lineRule="auto"/>
        <w:ind w:firstLine="420" w:firstLineChars="200"/>
        <w:jc w:val="left"/>
        <w:rPr>
          <w:rFonts w:ascii="宋体" w:hAnsi="宋体"/>
          <w:szCs w:val="21"/>
        </w:rPr>
      </w:pPr>
      <w:r>
        <w:rPr>
          <w:rFonts w:ascii="宋体" w:hAnsi="宋体"/>
          <w:szCs w:val="21"/>
        </w:rPr>
        <w:t>1.10.4超大件和超重件的运输</w:t>
      </w:r>
    </w:p>
    <w:p>
      <w:pPr>
        <w:spacing w:line="360" w:lineRule="auto"/>
        <w:ind w:firstLine="420" w:firstLineChars="200"/>
        <w:jc w:val="left"/>
        <w:rPr>
          <w:rFonts w:ascii="宋体" w:hAnsi="宋体"/>
          <w:szCs w:val="21"/>
        </w:rPr>
      </w:pPr>
      <w:r>
        <w:rPr>
          <w:rFonts w:ascii="宋体" w:hAnsi="宋体"/>
          <w:szCs w:val="21"/>
        </w:rPr>
        <w:t>运输超大件或超重件所需的道路和桥梁临时加固改造费用和其他有关费用由承担。</w:t>
      </w:r>
    </w:p>
    <w:bookmarkEnd w:id="240"/>
    <w:p>
      <w:pPr>
        <w:spacing w:after="120" w:line="360" w:lineRule="auto"/>
        <w:ind w:firstLine="420" w:firstLineChars="200"/>
        <w:outlineLvl w:val="0"/>
        <w:rPr>
          <w:rFonts w:ascii="宋体" w:hAnsi="宋体"/>
          <w:szCs w:val="21"/>
        </w:rPr>
      </w:pPr>
      <w:r>
        <w:rPr>
          <w:rFonts w:ascii="宋体" w:hAnsi="宋体"/>
          <w:szCs w:val="21"/>
        </w:rPr>
        <w:t>1.11知识产权</w:t>
      </w:r>
    </w:p>
    <w:p>
      <w:pPr>
        <w:spacing w:line="360" w:lineRule="auto"/>
        <w:ind w:firstLine="420" w:firstLineChars="200"/>
        <w:rPr>
          <w:rFonts w:ascii="宋体" w:hAnsi="宋体"/>
          <w:szCs w:val="21"/>
          <w:u w:val="single"/>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w:t>
      </w:r>
    </w:p>
    <w:p>
      <w:pPr>
        <w:spacing w:line="360" w:lineRule="auto"/>
        <w:rPr>
          <w:rFonts w:ascii="宋体" w:hAnsi="宋体"/>
          <w:szCs w:val="21"/>
        </w:rPr>
      </w:pPr>
      <w:r>
        <w:rPr>
          <w:rFonts w:ascii="宋体" w:hAnsi="宋体"/>
          <w:szCs w:val="21"/>
          <w:u w:val="single"/>
        </w:rPr>
        <w:t xml:space="preserve">                   </w:t>
      </w:r>
      <w:r>
        <w:rPr>
          <w:rFonts w:ascii="宋体" w:hAnsi="宋体"/>
          <w:szCs w:val="21"/>
        </w:rPr>
        <w:t>。</w:t>
      </w:r>
    </w:p>
    <w:p>
      <w:pPr>
        <w:spacing w:line="360" w:lineRule="auto"/>
        <w:ind w:left="596" w:leftChars="284"/>
        <w:rPr>
          <w:rFonts w:ascii="宋体" w:hAnsi="宋体"/>
          <w:szCs w:val="21"/>
        </w:rPr>
      </w:pPr>
      <w:r>
        <w:rPr>
          <w:rFonts w:ascii="宋体" w:hAnsi="宋体"/>
          <w:szCs w:val="21"/>
        </w:rPr>
        <w:t>关于发包人提供的上述文件的使用限制的要求：</w:t>
      </w:r>
    </w:p>
    <w:p>
      <w:pPr>
        <w:spacing w:line="360" w:lineRule="auto"/>
        <w:rPr>
          <w:rFonts w:ascii="宋体" w:hAnsi="宋体"/>
          <w:szCs w:val="21"/>
        </w:rPr>
      </w:pPr>
      <w:r>
        <w:rPr>
          <w:rFonts w:ascii="宋体" w:hAnsi="宋体"/>
          <w:szCs w:val="21"/>
          <w:u w:val="single"/>
        </w:rPr>
        <w:t xml:space="preserve">  </w:t>
      </w:r>
      <w:r>
        <w:rPr>
          <w:rFonts w:ascii="宋体" w:hAnsi="宋体"/>
          <w:szCs w:val="21"/>
        </w:rPr>
        <w:t>。</w:t>
      </w:r>
    </w:p>
    <w:p>
      <w:pPr>
        <w:spacing w:line="360" w:lineRule="auto"/>
        <w:ind w:left="596" w:leftChars="284"/>
        <w:outlineLvl w:val="0"/>
        <w:rPr>
          <w:rFonts w:ascii="宋体" w:hAnsi="宋体"/>
          <w:szCs w:val="21"/>
        </w:rPr>
      </w:pPr>
      <w:r>
        <w:rPr>
          <w:rFonts w:ascii="宋体" w:hAnsi="宋体"/>
          <w:szCs w:val="21"/>
        </w:rPr>
        <w:t>1.11.2关于承包人为实施工程所编制文件的著作权的归属：</w:t>
      </w:r>
    </w:p>
    <w:p>
      <w:pPr>
        <w:spacing w:line="360" w:lineRule="auto"/>
        <w:rPr>
          <w:rFonts w:ascii="宋体" w:hAnsi="宋体"/>
          <w:szCs w:val="21"/>
        </w:rPr>
      </w:pP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ascii="宋体" w:hAnsi="宋体"/>
          <w:szCs w:val="21"/>
          <w:u w:val="single"/>
        </w:rPr>
        <w:t>   </w:t>
      </w:r>
    </w:p>
    <w:p>
      <w:pPr>
        <w:spacing w:line="360" w:lineRule="auto"/>
        <w:rPr>
          <w:rFonts w:ascii="宋体" w:hAnsi="宋体"/>
          <w:szCs w:val="21"/>
        </w:rPr>
      </w:pPr>
      <w:r>
        <w:rPr>
          <w:rFonts w:ascii="宋体" w:hAnsi="宋体"/>
          <w:szCs w:val="21"/>
          <w:u w:val="single"/>
        </w:rPr>
        <w:t xml:space="preserve">                   </w:t>
      </w:r>
      <w:r>
        <w:rPr>
          <w:rFonts w:ascii="宋体" w:hAnsi="宋体"/>
          <w:szCs w:val="21"/>
        </w:rPr>
        <w:t>。</w:t>
      </w:r>
    </w:p>
    <w:p>
      <w:pPr>
        <w:spacing w:line="360" w:lineRule="auto"/>
        <w:ind w:firstLine="420" w:firstLineChars="200"/>
        <w:outlineLvl w:val="0"/>
        <w:rPr>
          <w:rFonts w:ascii="宋体" w:hAnsi="宋体"/>
          <w:kern w:val="0"/>
          <w:szCs w:val="21"/>
        </w:rPr>
      </w:pPr>
      <w:r>
        <w:rPr>
          <w:rFonts w:ascii="宋体" w:hAnsi="宋体"/>
          <w:szCs w:val="21"/>
        </w:rPr>
        <w:t>1.11.4承包人在施工过程中所采用的专利、专有技术、技术秘密的使用费的承担方式：</w:t>
      </w:r>
      <w:r>
        <w:rPr>
          <w:rFonts w:ascii="宋体" w:hAnsi="宋体"/>
          <w:szCs w:val="21"/>
          <w:u w:val="single"/>
        </w:rPr>
        <w:t xml:space="preserve">             </w:t>
      </w:r>
      <w:r>
        <w:rPr>
          <w:rFonts w:ascii="宋体" w:hAnsi="宋体"/>
          <w:kern w:val="0"/>
          <w:szCs w:val="21"/>
        </w:rPr>
        <w:t>。</w:t>
      </w:r>
    </w:p>
    <w:p>
      <w:pPr>
        <w:spacing w:after="120" w:line="360" w:lineRule="auto"/>
        <w:ind w:firstLine="420" w:firstLineChars="200"/>
        <w:rPr>
          <w:rFonts w:ascii="宋体" w:hAnsi="宋体"/>
          <w:szCs w:val="21"/>
        </w:rPr>
      </w:pPr>
      <w:r>
        <w:rPr>
          <w:rFonts w:ascii="宋体" w:hAnsi="宋体"/>
          <w:szCs w:val="21"/>
        </w:rPr>
        <w:t>1.13工程量清单错误的修正</w:t>
      </w:r>
    </w:p>
    <w:p>
      <w:pPr>
        <w:spacing w:line="360" w:lineRule="auto"/>
        <w:ind w:firstLine="420" w:firstLineChars="200"/>
        <w:rPr>
          <w:rFonts w:ascii="宋体" w:hAnsi="宋体"/>
          <w:szCs w:val="21"/>
        </w:rPr>
      </w:pPr>
      <w:r>
        <w:rPr>
          <w:rFonts w:hint="eastAsia" w:ascii="宋体" w:hAnsi="宋体"/>
          <w:szCs w:val="21"/>
        </w:rPr>
        <w:t>出现工程量清单错误时，是否调整合同价格：</w:t>
      </w:r>
      <w:r>
        <w:rPr>
          <w:rFonts w:ascii="宋体" w:hAnsi="宋体"/>
          <w:szCs w:val="21"/>
          <w:u w:val="single"/>
        </w:rPr>
        <w:t xml:space="preserve">     </w:t>
      </w:r>
      <w:r>
        <w:rPr>
          <w:rFonts w:ascii="宋体" w:hAnsi="宋体"/>
          <w:kern w:val="0"/>
          <w:szCs w:val="21"/>
        </w:rPr>
        <w:t>。</w:t>
      </w:r>
    </w:p>
    <w:p>
      <w:pPr>
        <w:spacing w:line="360" w:lineRule="auto"/>
        <w:ind w:firstLine="420" w:firstLineChars="200"/>
        <w:rPr>
          <w:rFonts w:ascii="宋体" w:hAnsi="宋体"/>
          <w:szCs w:val="21"/>
          <w:u w:val="single"/>
        </w:rPr>
      </w:pPr>
      <w:r>
        <w:rPr>
          <w:rFonts w:ascii="宋体" w:hAnsi="宋体"/>
          <w:szCs w:val="21"/>
        </w:rPr>
        <w:t>允许调整合同价格的工程量偏差范围：</w:t>
      </w:r>
      <w:r>
        <w:rPr>
          <w:rFonts w:ascii="宋体" w:hAnsi="宋体"/>
          <w:szCs w:val="21"/>
          <w:u w:val="single"/>
        </w:rPr>
        <w:t xml:space="preserve">   </w:t>
      </w:r>
    </w:p>
    <w:p>
      <w:pPr>
        <w:spacing w:line="360" w:lineRule="auto"/>
        <w:rPr>
          <w:rFonts w:ascii="宋体" w:hAnsi="宋体"/>
          <w:szCs w:val="21"/>
        </w:rPr>
      </w:pPr>
      <w:r>
        <w:rPr>
          <w:rFonts w:ascii="宋体" w:hAnsi="宋体"/>
          <w:szCs w:val="21"/>
          <w:u w:val="single"/>
        </w:rPr>
        <w:t xml:space="preserve">   </w:t>
      </w:r>
      <w:r>
        <w:rPr>
          <w:rFonts w:ascii="宋体" w:hAnsi="宋体"/>
          <w:kern w:val="0"/>
          <w:szCs w:val="21"/>
        </w:rPr>
        <w:t>。</w:t>
      </w:r>
    </w:p>
    <w:p>
      <w:pPr>
        <w:pStyle w:val="5"/>
        <w:spacing w:before="120" w:after="120" w:line="360" w:lineRule="auto"/>
        <w:rPr>
          <w:rFonts w:ascii="宋体" w:hAnsi="宋体" w:eastAsia="宋体"/>
          <w:b w:val="0"/>
          <w:sz w:val="21"/>
          <w:szCs w:val="21"/>
        </w:rPr>
      </w:pPr>
      <w:bookmarkStart w:id="241" w:name="_Toc351203634"/>
      <w:r>
        <w:rPr>
          <w:rFonts w:ascii="宋体" w:hAnsi="宋体" w:eastAsia="宋体"/>
          <w:b w:val="0"/>
          <w:sz w:val="21"/>
          <w:szCs w:val="21"/>
        </w:rPr>
        <w:t>2</w:t>
      </w:r>
      <w:bookmarkStart w:id="242" w:name="_Toc297048343"/>
      <w:bookmarkStart w:id="243" w:name="_Toc297120457"/>
      <w:bookmarkStart w:id="244" w:name="_Toc296944496"/>
      <w:bookmarkStart w:id="245" w:name="_Toc296503157"/>
      <w:bookmarkStart w:id="246" w:name="_Toc296890985"/>
      <w:bookmarkStart w:id="247" w:name="_Toc296891197"/>
      <w:bookmarkStart w:id="248" w:name="_Toc296347156"/>
      <w:bookmarkStart w:id="249" w:name="_Toc296346658"/>
      <w:bookmarkStart w:id="250" w:name="_Toc292559867"/>
      <w:bookmarkStart w:id="251" w:name="_Toc292559362"/>
      <w:r>
        <w:rPr>
          <w:rFonts w:ascii="宋体" w:hAnsi="宋体" w:eastAsia="宋体"/>
          <w:b w:val="0"/>
          <w:sz w:val="21"/>
          <w:szCs w:val="21"/>
        </w:rPr>
        <w:t>.发包人</w:t>
      </w:r>
      <w:bookmarkEnd w:id="241"/>
    </w:p>
    <w:bookmarkEnd w:id="242"/>
    <w:bookmarkEnd w:id="243"/>
    <w:bookmarkEnd w:id="244"/>
    <w:bookmarkEnd w:id="245"/>
    <w:bookmarkEnd w:id="246"/>
    <w:bookmarkEnd w:id="247"/>
    <w:bookmarkEnd w:id="248"/>
    <w:bookmarkEnd w:id="249"/>
    <w:bookmarkEnd w:id="250"/>
    <w:bookmarkEnd w:id="251"/>
    <w:p>
      <w:pPr>
        <w:spacing w:after="120" w:line="360" w:lineRule="auto"/>
        <w:ind w:firstLine="420" w:firstLineChars="200"/>
        <w:outlineLvl w:val="0"/>
        <w:rPr>
          <w:rFonts w:ascii="宋体" w:hAnsi="宋体"/>
          <w:szCs w:val="21"/>
        </w:rPr>
      </w:pPr>
      <w:r>
        <w:rPr>
          <w:rFonts w:ascii="宋体" w:hAnsi="宋体"/>
          <w:szCs w:val="21"/>
        </w:rPr>
        <w:t>2.2发包人代表</w:t>
      </w:r>
    </w:p>
    <w:p>
      <w:pPr>
        <w:spacing w:line="360" w:lineRule="auto"/>
        <w:ind w:firstLine="420" w:firstLineChars="200"/>
        <w:rPr>
          <w:rFonts w:ascii="宋体" w:hAnsi="宋体"/>
          <w:szCs w:val="21"/>
        </w:rPr>
      </w:pPr>
      <w:r>
        <w:rPr>
          <w:rFonts w:ascii="宋体" w:hAnsi="宋体"/>
          <w:szCs w:val="21"/>
        </w:rPr>
        <w:t>发包人代表：</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ascii="宋体" w:hAnsi="宋体"/>
          <w:szCs w:val="21"/>
          <w:u w:val="single"/>
        </w:rPr>
        <w:t>     </w:t>
      </w:r>
    </w:p>
    <w:p>
      <w:pPr>
        <w:spacing w:line="360" w:lineRule="auto"/>
        <w:rPr>
          <w:rFonts w:ascii="宋体" w:hAnsi="宋体"/>
          <w:b/>
          <w:szCs w:val="21"/>
        </w:rPr>
      </w:pP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2.4施工现场、施工条件和基础资料的提供</w:t>
      </w:r>
    </w:p>
    <w:p>
      <w:pPr>
        <w:spacing w:line="360" w:lineRule="auto"/>
        <w:ind w:firstLine="420" w:firstLineChars="200"/>
        <w:rPr>
          <w:rFonts w:ascii="宋体" w:hAnsi="宋体"/>
          <w:szCs w:val="21"/>
        </w:rPr>
      </w:pPr>
      <w:r>
        <w:rPr>
          <w:rFonts w:ascii="宋体" w:hAnsi="宋体"/>
          <w:szCs w:val="21"/>
        </w:rPr>
        <w:t>2.4.1提供施工现场</w:t>
      </w:r>
    </w:p>
    <w:p>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ascii="宋体" w:hAnsi="宋体"/>
          <w:szCs w:val="21"/>
          <w:u w:val="single"/>
        </w:rPr>
        <w:t xml:space="preserve">                          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2.4.2提供施工条件</w:t>
      </w:r>
    </w:p>
    <w:p>
      <w:pPr>
        <w:spacing w:line="360" w:lineRule="auto"/>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r>
        <w:rPr>
          <w:rFonts w:ascii="宋体" w:hAnsi="宋体"/>
          <w:szCs w:val="21"/>
          <w:u w:val="single"/>
        </w:rPr>
        <w:t xml:space="preserve">       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2.5资金来源证明及支付担保</w:t>
      </w:r>
    </w:p>
    <w:p>
      <w:pPr>
        <w:spacing w:line="360" w:lineRule="auto"/>
        <w:ind w:firstLine="420" w:firstLineChars="20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发包人是否提供支付担保：</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发包人提供支付担保的形式：</w:t>
      </w:r>
      <w:r>
        <w:rPr>
          <w:rFonts w:ascii="宋体" w:hAnsi="宋体"/>
          <w:szCs w:val="21"/>
          <w:u w:val="single"/>
        </w:rPr>
        <w:t>              </w:t>
      </w:r>
      <w:r>
        <w:rPr>
          <w:rFonts w:ascii="宋体" w:hAnsi="宋体"/>
          <w:szCs w:val="21"/>
        </w:rPr>
        <w:t>。</w:t>
      </w:r>
    </w:p>
    <w:p>
      <w:pPr>
        <w:pStyle w:val="5"/>
        <w:spacing w:before="120" w:after="120" w:line="360" w:lineRule="auto"/>
        <w:rPr>
          <w:rFonts w:ascii="宋体" w:hAnsi="宋体" w:eastAsia="宋体"/>
          <w:b w:val="0"/>
          <w:sz w:val="21"/>
          <w:szCs w:val="21"/>
        </w:rPr>
      </w:pPr>
      <w:bookmarkStart w:id="252" w:name="_Toc351203635"/>
      <w:r>
        <w:rPr>
          <w:rFonts w:ascii="宋体" w:hAnsi="宋体" w:eastAsia="宋体"/>
          <w:b w:val="0"/>
          <w:sz w:val="21"/>
          <w:szCs w:val="21"/>
        </w:rPr>
        <w:t>3</w:t>
      </w:r>
      <w:bookmarkStart w:id="253" w:name="_Toc297048344"/>
      <w:bookmarkStart w:id="254" w:name="_Toc297120458"/>
      <w:bookmarkStart w:id="255" w:name="_Toc296891198"/>
      <w:bookmarkStart w:id="256" w:name="_Toc296944497"/>
      <w:bookmarkStart w:id="257" w:name="_Toc296347157"/>
      <w:bookmarkStart w:id="258" w:name="_Toc296503158"/>
      <w:bookmarkStart w:id="259" w:name="_Toc296346659"/>
      <w:bookmarkStart w:id="260" w:name="_Toc292559363"/>
      <w:bookmarkStart w:id="261" w:name="_Toc292559868"/>
      <w:bookmarkStart w:id="262" w:name="_Toc296890986"/>
      <w:r>
        <w:rPr>
          <w:rFonts w:ascii="宋体" w:hAnsi="宋体" w:eastAsia="宋体"/>
          <w:b w:val="0"/>
          <w:sz w:val="21"/>
          <w:szCs w:val="21"/>
        </w:rPr>
        <w:t>.承包人</w:t>
      </w:r>
      <w:bookmarkEnd w:id="252"/>
    </w:p>
    <w:bookmarkEnd w:id="253"/>
    <w:bookmarkEnd w:id="254"/>
    <w:bookmarkEnd w:id="255"/>
    <w:bookmarkEnd w:id="256"/>
    <w:bookmarkEnd w:id="257"/>
    <w:bookmarkEnd w:id="258"/>
    <w:bookmarkEnd w:id="259"/>
    <w:bookmarkEnd w:id="260"/>
    <w:bookmarkEnd w:id="261"/>
    <w:bookmarkEnd w:id="262"/>
    <w:p>
      <w:pPr>
        <w:spacing w:after="120" w:line="360" w:lineRule="auto"/>
        <w:ind w:firstLine="420" w:firstLineChars="200"/>
        <w:rPr>
          <w:rFonts w:ascii="宋体" w:hAnsi="宋体"/>
          <w:szCs w:val="21"/>
        </w:rPr>
      </w:pPr>
      <w:r>
        <w:rPr>
          <w:rFonts w:ascii="宋体" w:hAnsi="宋体"/>
          <w:szCs w:val="21"/>
        </w:rPr>
        <w:t>3.1承包人的一般义务</w:t>
      </w:r>
    </w:p>
    <w:p>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承包人提交的竣工资料的内容：</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承包人需要提交的竣工资料套数：。</w:t>
      </w:r>
    </w:p>
    <w:p>
      <w:pPr>
        <w:spacing w:line="360" w:lineRule="auto"/>
        <w:ind w:left="638" w:leftChars="304"/>
        <w:jc w:val="left"/>
        <w:rPr>
          <w:rFonts w:ascii="宋体" w:hAnsi="宋体"/>
          <w:szCs w:val="21"/>
        </w:rPr>
      </w:pPr>
      <w:r>
        <w:rPr>
          <w:rFonts w:ascii="宋体" w:hAnsi="宋体"/>
          <w:szCs w:val="21"/>
        </w:rPr>
        <w:t>承包人提交的竣工资料的费用承担：。</w:t>
      </w:r>
    </w:p>
    <w:p>
      <w:pPr>
        <w:spacing w:line="360" w:lineRule="auto"/>
        <w:ind w:left="638" w:leftChars="304"/>
        <w:jc w:val="left"/>
        <w:rPr>
          <w:rFonts w:ascii="宋体" w:hAnsi="宋体"/>
          <w:szCs w:val="21"/>
        </w:rPr>
      </w:pPr>
      <w:r>
        <w:rPr>
          <w:rFonts w:ascii="宋体" w:hAnsi="宋体"/>
          <w:szCs w:val="21"/>
        </w:rPr>
        <w:t>承包人提交的竣工资料移交时间：。</w:t>
      </w:r>
    </w:p>
    <w:p>
      <w:pPr>
        <w:spacing w:line="360" w:lineRule="auto"/>
        <w:ind w:firstLine="420" w:firstLineChars="200"/>
        <w:jc w:val="left"/>
        <w:rPr>
          <w:rFonts w:ascii="宋体" w:hAnsi="宋体"/>
          <w:szCs w:val="21"/>
        </w:rPr>
      </w:pPr>
      <w:r>
        <w:rPr>
          <w:rFonts w:ascii="宋体" w:hAnsi="宋体"/>
          <w:szCs w:val="21"/>
        </w:rPr>
        <w:t>承包人提交的竣工资料形式要求：。</w:t>
      </w:r>
    </w:p>
    <w:p>
      <w:pPr>
        <w:spacing w:line="360" w:lineRule="auto"/>
        <w:ind w:firstLine="420" w:firstLineChars="200"/>
        <w:rPr>
          <w:rFonts w:ascii="宋体" w:hAnsi="宋体"/>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ascii="宋体" w:hAnsi="宋体"/>
          <w:szCs w:val="21"/>
          <w:u w:val="single"/>
        </w:rPr>
        <w:t xml:space="preserve">                       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3.2项目经理</w:t>
      </w:r>
    </w:p>
    <w:p>
      <w:pPr>
        <w:spacing w:line="360" w:lineRule="auto"/>
        <w:ind w:firstLine="420" w:firstLineChars="200"/>
        <w:rPr>
          <w:rFonts w:ascii="宋体" w:hAnsi="宋体"/>
          <w:szCs w:val="21"/>
        </w:rPr>
      </w:pPr>
      <w:r>
        <w:rPr>
          <w:rFonts w:ascii="宋体" w:hAnsi="宋体"/>
          <w:kern w:val="0"/>
          <w:szCs w:val="21"/>
        </w:rPr>
        <w:t>3.2.1</w:t>
      </w:r>
      <w:r>
        <w:rPr>
          <w:rFonts w:ascii="宋体" w:hAnsi="宋体"/>
          <w:szCs w:val="21"/>
        </w:rPr>
        <w:t>项目经理：</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 xml:space="preserve">                   </w:t>
      </w:r>
      <w:r>
        <w:rPr>
          <w:rFonts w:ascii="宋体" w:hAnsi="宋体"/>
          <w:szCs w:val="21"/>
        </w:rPr>
        <w:t>。</w:t>
      </w:r>
    </w:p>
    <w:p>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szCs w:val="21"/>
          <w:u w:val="single"/>
        </w:rPr>
        <w:t xml:space="preserve">                         </w:t>
      </w:r>
      <w:r>
        <w:rPr>
          <w:rFonts w:ascii="宋体" w:hAnsi="宋体"/>
          <w:szCs w:val="21"/>
        </w:rPr>
        <w:t>。</w:t>
      </w:r>
    </w:p>
    <w:p>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ascii="宋体" w:hAnsi="宋体"/>
          <w:szCs w:val="21"/>
          <w:u w:val="single"/>
        </w:rPr>
        <w:t>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 xml:space="preserve">              </w:t>
      </w:r>
    </w:p>
    <w:p>
      <w:pPr>
        <w:spacing w:line="360" w:lineRule="auto"/>
        <w:rPr>
          <w:rFonts w:ascii="宋体" w:hAnsi="宋体"/>
          <w:szCs w:val="21"/>
        </w:rPr>
      </w:pPr>
      <w:r>
        <w:rPr>
          <w:rFonts w:ascii="宋体" w:hAnsi="宋体"/>
          <w:szCs w:val="21"/>
          <w:u w:val="single"/>
        </w:rPr>
        <w:t>                   </w:t>
      </w:r>
      <w:r>
        <w:rPr>
          <w:rFonts w:ascii="宋体" w:hAnsi="宋体"/>
          <w:szCs w:val="21"/>
        </w:rPr>
        <w:t>。</w:t>
      </w:r>
    </w:p>
    <w:p>
      <w:pPr>
        <w:spacing w:line="360" w:lineRule="auto"/>
        <w:outlineLvl w:val="0"/>
        <w:rPr>
          <w:rFonts w:ascii="宋体" w:hAnsi="宋体"/>
          <w:szCs w:val="21"/>
        </w:rPr>
      </w:pPr>
      <w:r>
        <w:rPr>
          <w:rFonts w:ascii="宋体" w:hAnsi="宋体"/>
          <w:szCs w:val="21"/>
        </w:rPr>
        <w:t xml:space="preserve">    3.2.4承包人无正当理由拒绝更换项目经理的违约责任：</w:t>
      </w:r>
      <w:r>
        <w:rPr>
          <w:rFonts w:ascii="宋体" w:hAnsi="宋体"/>
          <w:szCs w:val="21"/>
          <w:u w:val="single"/>
        </w:rPr>
        <w:t xml:space="preserve">                  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3.3承包人人员</w:t>
      </w:r>
    </w:p>
    <w:p>
      <w:pPr>
        <w:spacing w:line="360" w:lineRule="auto"/>
        <w:ind w:firstLine="420" w:firstLineChars="200"/>
        <w:rPr>
          <w:rFonts w:ascii="宋体" w:hAnsi="宋体"/>
          <w:szCs w:val="21"/>
        </w:rPr>
      </w:pPr>
      <w:r>
        <w:rPr>
          <w:rFonts w:ascii="宋体" w:hAnsi="宋体"/>
          <w:szCs w:val="21"/>
        </w:rPr>
        <w:t>3.3.1承包人提交项目管理机构及施工现场管理人员安排报告的期限：</w:t>
      </w:r>
      <w:r>
        <w:rPr>
          <w:rFonts w:ascii="宋体" w:hAnsi="宋体"/>
          <w:szCs w:val="21"/>
          <w:u w:val="single"/>
        </w:rPr>
        <w:t xml:space="preserve">  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3.3.3承包人无正当理由拒绝撤换主要施工管理人员的违约责任：</w:t>
      </w:r>
      <w:r>
        <w:rPr>
          <w:rFonts w:ascii="宋体" w:hAnsi="宋体"/>
          <w:szCs w:val="21"/>
          <w:u w:val="single"/>
        </w:rPr>
        <w:t xml:space="preserve">                           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 xml:space="preserve">3.3.4承包人主要施工管理人员离开施工现场的批准要求：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 xml:space="preserve"> 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3</w:t>
      </w:r>
      <w:bookmarkStart w:id="263" w:name="_Toc297048345"/>
      <w:bookmarkStart w:id="264" w:name="_Toc304295523"/>
      <w:bookmarkStart w:id="265" w:name="_Toc312677988"/>
      <w:bookmarkStart w:id="266" w:name="_Toc296891199"/>
      <w:bookmarkStart w:id="267" w:name="_Toc296503159"/>
      <w:bookmarkStart w:id="268" w:name="_Toc296944498"/>
      <w:bookmarkStart w:id="269" w:name="_Toc292559869"/>
      <w:bookmarkStart w:id="270" w:name="_Toc300934945"/>
      <w:bookmarkStart w:id="271" w:name="_Toc297120459"/>
      <w:bookmarkStart w:id="272" w:name="_Toc296890987"/>
      <w:bookmarkStart w:id="273" w:name="_Toc297123492"/>
      <w:bookmarkStart w:id="274" w:name="_Toc296347158"/>
      <w:bookmarkStart w:id="275" w:name="_Toc296346660"/>
      <w:bookmarkStart w:id="276" w:name="_Toc292559364"/>
      <w:bookmarkStart w:id="277" w:name="_Toc297216151"/>
      <w:bookmarkStart w:id="278" w:name="_Toc303539102"/>
      <w:r>
        <w:rPr>
          <w:rFonts w:ascii="宋体" w:hAnsi="宋体"/>
          <w:szCs w:val="21"/>
        </w:rPr>
        <w:t>.5分包</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spacing w:line="360" w:lineRule="auto"/>
        <w:ind w:firstLine="420" w:firstLineChars="200"/>
        <w:rPr>
          <w:rFonts w:ascii="宋体" w:hAnsi="宋体"/>
          <w:szCs w:val="21"/>
        </w:rPr>
      </w:pPr>
      <w:r>
        <w:rPr>
          <w:rFonts w:ascii="宋体" w:hAnsi="宋体"/>
          <w:szCs w:val="21"/>
        </w:rPr>
        <w:t>3</w:t>
      </w:r>
      <w:bookmarkStart w:id="279" w:name="_Toc297120460"/>
      <w:bookmarkStart w:id="280" w:name="_Toc296944499"/>
      <w:bookmarkStart w:id="281" w:name="_Toc304295524"/>
      <w:bookmarkStart w:id="282" w:name="_Toc297216152"/>
      <w:bookmarkStart w:id="283" w:name="_Toc300934946"/>
      <w:bookmarkStart w:id="284" w:name="_Toc292559365"/>
      <w:bookmarkStart w:id="285" w:name="_Toc296890988"/>
      <w:bookmarkStart w:id="286" w:name="_Toc296346661"/>
      <w:bookmarkStart w:id="287" w:name="_Toc296503160"/>
      <w:bookmarkStart w:id="288" w:name="_Toc303539103"/>
      <w:bookmarkStart w:id="289" w:name="_Toc297048346"/>
      <w:bookmarkStart w:id="290" w:name="_Toc296347159"/>
      <w:bookmarkStart w:id="291" w:name="_Toc296891200"/>
      <w:bookmarkStart w:id="292" w:name="_Toc297123493"/>
      <w:bookmarkStart w:id="293" w:name="_Toc292559870"/>
      <w:bookmarkStart w:id="294" w:name="_Toc312677989"/>
      <w:bookmarkStart w:id="295" w:name="_Toc318581158"/>
      <w:r>
        <w:rPr>
          <w:rFonts w:ascii="宋体" w:hAnsi="宋体"/>
          <w:szCs w:val="21"/>
        </w:rPr>
        <w:t>.5.1分包的一般约定</w:t>
      </w:r>
    </w:p>
    <w:p>
      <w:pPr>
        <w:spacing w:line="360" w:lineRule="auto"/>
        <w:ind w:firstLine="420" w:firstLineChars="200"/>
        <w:jc w:val="left"/>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主体结构、关键性工作的范围：</w:t>
      </w:r>
      <w:r>
        <w:rPr>
          <w:rFonts w:ascii="宋体" w:hAnsi="宋体"/>
          <w:szCs w:val="21"/>
          <w:u w:val="single"/>
        </w:rPr>
        <w:t xml:space="preserve">                 </w:t>
      </w:r>
    </w:p>
    <w:p>
      <w:pPr>
        <w:spacing w:line="360" w:lineRule="auto"/>
        <w:jc w:val="left"/>
        <w:rPr>
          <w:rFonts w:ascii="宋体" w:hAnsi="宋体"/>
          <w:szCs w:val="21"/>
          <w:u w:val="single"/>
        </w:rPr>
      </w:pPr>
      <w:r>
        <w:rPr>
          <w:rFonts w:ascii="宋体" w:hAnsi="宋体"/>
          <w:szCs w:val="21"/>
        </w:rPr>
        <w: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6" w:name="_Toc304295525"/>
      <w:bookmarkStart w:id="297" w:name="_Toc297048347"/>
      <w:bookmarkStart w:id="298" w:name="_Toc296944500"/>
      <w:bookmarkStart w:id="299" w:name="_Toc296346662"/>
      <w:bookmarkStart w:id="300" w:name="_Toc296503161"/>
      <w:bookmarkStart w:id="301" w:name="_Toc296890989"/>
      <w:bookmarkStart w:id="302" w:name="_Toc297216153"/>
      <w:bookmarkStart w:id="303" w:name="_Toc296347160"/>
      <w:bookmarkStart w:id="304" w:name="_Toc303539104"/>
      <w:bookmarkStart w:id="305" w:name="_Toc297120461"/>
      <w:bookmarkStart w:id="306" w:name="_Toc297123494"/>
      <w:bookmarkStart w:id="307" w:name="_Toc296891201"/>
      <w:bookmarkStart w:id="308" w:name="_Toc300934947"/>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Pr>
        <w:spacing w:line="360" w:lineRule="auto"/>
        <w:rPr>
          <w:rFonts w:ascii="宋体" w:hAnsi="宋体"/>
          <w:szCs w:val="21"/>
        </w:rPr>
      </w:pPr>
      <w:r>
        <w:rPr>
          <w:rFonts w:ascii="宋体" w:hAnsi="宋体"/>
          <w:szCs w:val="21"/>
        </w:rPr>
        <w:t xml:space="preserve">    3</w:t>
      </w:r>
      <w:bookmarkStart w:id="309" w:name="_Toc312677990"/>
      <w:bookmarkStart w:id="310" w:name="_Toc318581159"/>
      <w:r>
        <w:rPr>
          <w:rFonts w:ascii="宋体" w:hAnsi="宋体"/>
          <w:szCs w:val="21"/>
        </w:rPr>
        <w:t>.5.2分包的确定</w:t>
      </w:r>
    </w:p>
    <w:p>
      <w:pPr>
        <w:spacing w:line="360" w:lineRule="auto"/>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其他关于分包的约定：</w:t>
      </w:r>
    </w:p>
    <w:p>
      <w:pPr>
        <w:spacing w:line="360" w:lineRule="auto"/>
        <w:rPr>
          <w:rFonts w:ascii="宋体" w:hAnsi="宋体"/>
          <w:szCs w:val="21"/>
        </w:rPr>
      </w:pPr>
      <w:r>
        <w:rPr>
          <w:rFonts w:ascii="宋体" w:hAnsi="宋体"/>
          <w:szCs w:val="21"/>
        </w:rPr>
        <w:t>。</w:t>
      </w:r>
    </w:p>
    <w:p>
      <w:pPr>
        <w:spacing w:line="360" w:lineRule="auto"/>
        <w:ind w:firstLine="420" w:firstLineChars="200"/>
        <w:rPr>
          <w:rFonts w:ascii="宋体" w:hAnsi="宋体"/>
          <w:szCs w:val="21"/>
        </w:rPr>
      </w:pPr>
      <w:r>
        <w:rPr>
          <w:rFonts w:ascii="宋体" w:hAnsi="宋体"/>
          <w:szCs w:val="21"/>
        </w:rPr>
        <w:t>3.5.4分包合同价款</w:t>
      </w:r>
    </w:p>
    <w:p>
      <w:pPr>
        <w:spacing w:line="360" w:lineRule="auto"/>
        <w:ind w:firstLine="420" w:firstLineChars="20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szCs w:val="21"/>
        </w:rPr>
        <w:t>。</w:t>
      </w:r>
    </w:p>
    <w:bookmarkEnd w:id="309"/>
    <w:bookmarkEnd w:id="310"/>
    <w:p>
      <w:pPr>
        <w:spacing w:after="120" w:line="360" w:lineRule="auto"/>
        <w:ind w:firstLine="420" w:firstLineChars="200"/>
        <w:rPr>
          <w:rFonts w:ascii="宋体" w:hAnsi="宋体"/>
          <w:szCs w:val="21"/>
        </w:rPr>
      </w:pPr>
      <w:r>
        <w:rPr>
          <w:rFonts w:ascii="宋体" w:hAnsi="宋体"/>
          <w:szCs w:val="21"/>
        </w:rPr>
        <w:t>3.6工程照管与成品、半成品保护</w:t>
      </w:r>
    </w:p>
    <w:p>
      <w:pPr>
        <w:spacing w:before="120" w:after="120"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p>
    <w:p>
      <w:pPr>
        <w:spacing w:after="120" w:line="360" w:lineRule="auto"/>
        <w:ind w:firstLine="420" w:firstLineChars="200"/>
        <w:rPr>
          <w:rFonts w:ascii="宋体" w:hAnsi="宋体"/>
          <w:szCs w:val="21"/>
        </w:rPr>
      </w:pPr>
      <w:r>
        <w:rPr>
          <w:rFonts w:ascii="宋体" w:hAnsi="宋体"/>
          <w:szCs w:val="21"/>
        </w:rPr>
        <w:t>3.7履约担保</w:t>
      </w:r>
    </w:p>
    <w:p>
      <w:pPr>
        <w:spacing w:line="360" w:lineRule="auto"/>
        <w:ind w:firstLine="420" w:firstLineChars="200"/>
        <w:jc w:val="left"/>
        <w:rPr>
          <w:rFonts w:ascii="宋体" w:hAnsi="宋体"/>
          <w:szCs w:val="21"/>
        </w:rPr>
      </w:pPr>
      <w:r>
        <w:rPr>
          <w:rFonts w:hint="eastAsia" w:ascii="宋体" w:hAnsi="宋体"/>
          <w:szCs w:val="21"/>
        </w:rPr>
        <w:t>承包人是否提供履约担保：</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承包人提供履约担保的形式（</w:t>
      </w:r>
      <w:r>
        <w:rPr>
          <w:rFonts w:hint="eastAsia" w:ascii="宋体" w:hAnsi="宋体"/>
          <w:szCs w:val="21"/>
        </w:rPr>
        <w:t>履约担保由承包人自愿选择银行保函、保险保函、融资性担保公司担保或履约保证金等任一形式，发包人不得以任何理由拒绝或限制使用</w:t>
      </w:r>
      <w:r>
        <w:rPr>
          <w:rFonts w:ascii="宋体" w:hAnsi="宋体"/>
          <w:szCs w:val="21"/>
        </w:rPr>
        <w:t>）</w:t>
      </w:r>
      <w:r>
        <w:rPr>
          <w:rFonts w:hint="eastAsia" w:ascii="宋体" w:hAnsi="宋体"/>
          <w:szCs w:val="21"/>
        </w:rPr>
        <w:t>金额及期限</w:t>
      </w:r>
      <w:r>
        <w:rPr>
          <w:rFonts w:ascii="宋体" w:hAnsi="宋体"/>
          <w:szCs w:val="21"/>
        </w:rPr>
        <w:t>：</w:t>
      </w:r>
    </w:p>
    <w:p>
      <w:pPr>
        <w:spacing w:line="360" w:lineRule="auto"/>
        <w:jc w:val="left"/>
        <w:rPr>
          <w:rFonts w:ascii="宋体" w:hAnsi="宋体"/>
          <w:szCs w:val="21"/>
        </w:rPr>
      </w:pPr>
      <w:r>
        <w:rPr>
          <w:rFonts w:ascii="宋体" w:hAnsi="宋体"/>
          <w:szCs w:val="21"/>
        </w:rPr>
        <w:t>。</w:t>
      </w:r>
    </w:p>
    <w:p>
      <w:pPr>
        <w:pStyle w:val="5"/>
        <w:spacing w:before="120" w:after="120" w:line="360" w:lineRule="auto"/>
        <w:rPr>
          <w:rFonts w:ascii="宋体" w:hAnsi="宋体" w:eastAsia="宋体"/>
          <w:b w:val="0"/>
          <w:sz w:val="21"/>
          <w:szCs w:val="21"/>
        </w:rPr>
      </w:pPr>
      <w:bookmarkStart w:id="311" w:name="_Toc351203636"/>
      <w:r>
        <w:rPr>
          <w:rFonts w:ascii="宋体" w:hAnsi="宋体" w:eastAsia="宋体"/>
          <w:b w:val="0"/>
          <w:sz w:val="21"/>
          <w:szCs w:val="21"/>
        </w:rPr>
        <w:t>4</w:t>
      </w:r>
      <w:bookmarkStart w:id="312" w:name="_Toc297120462"/>
      <w:bookmarkStart w:id="313" w:name="_Toc296890990"/>
      <w:bookmarkStart w:id="314" w:name="_Toc296347161"/>
      <w:bookmarkStart w:id="315" w:name="_Toc267251413"/>
      <w:bookmarkStart w:id="316" w:name="_Toc292559366"/>
      <w:bookmarkStart w:id="317" w:name="_Toc296944501"/>
      <w:bookmarkStart w:id="318" w:name="_Toc296346663"/>
      <w:bookmarkStart w:id="319" w:name="_Toc296503162"/>
      <w:bookmarkStart w:id="320" w:name="_Toc296891202"/>
      <w:bookmarkStart w:id="321" w:name="_Toc297048348"/>
      <w:bookmarkStart w:id="322" w:name="_Toc292559871"/>
      <w:r>
        <w:rPr>
          <w:rFonts w:ascii="宋体" w:hAnsi="宋体" w:eastAsia="宋体"/>
          <w:b w:val="0"/>
          <w:sz w:val="21"/>
          <w:szCs w:val="21"/>
        </w:rPr>
        <w:t>.监</w:t>
      </w:r>
      <w:bookmarkEnd w:id="312"/>
      <w:bookmarkEnd w:id="313"/>
      <w:bookmarkEnd w:id="314"/>
      <w:bookmarkEnd w:id="315"/>
      <w:bookmarkEnd w:id="316"/>
      <w:bookmarkEnd w:id="317"/>
      <w:bookmarkEnd w:id="318"/>
      <w:bookmarkEnd w:id="319"/>
      <w:bookmarkEnd w:id="320"/>
      <w:bookmarkEnd w:id="321"/>
      <w:bookmarkEnd w:id="322"/>
      <w:r>
        <w:rPr>
          <w:rFonts w:ascii="宋体" w:hAnsi="宋体" w:eastAsia="宋体"/>
          <w:b w:val="0"/>
          <w:sz w:val="21"/>
          <w:szCs w:val="21"/>
        </w:rPr>
        <w:t>理人</w:t>
      </w:r>
      <w:bookmarkEnd w:id="311"/>
    </w:p>
    <w:p>
      <w:pPr>
        <w:spacing w:after="120" w:line="360" w:lineRule="auto"/>
        <w:ind w:firstLine="420" w:firstLineChars="200"/>
        <w:rPr>
          <w:rFonts w:ascii="宋体" w:hAnsi="宋体"/>
          <w:szCs w:val="21"/>
        </w:rPr>
      </w:pPr>
      <w:r>
        <w:rPr>
          <w:rFonts w:ascii="宋体" w:hAnsi="宋体"/>
          <w:szCs w:val="21"/>
        </w:rPr>
        <w:t>4.1监理人的一般规定</w:t>
      </w:r>
    </w:p>
    <w:p>
      <w:pPr>
        <w:spacing w:line="360" w:lineRule="auto"/>
        <w:ind w:firstLine="420" w:firstLineChars="200"/>
        <w:jc w:val="left"/>
        <w:rPr>
          <w:rFonts w:ascii="宋体" w:hAnsi="宋体"/>
          <w:szCs w:val="21"/>
        </w:rPr>
      </w:pPr>
      <w:r>
        <w:rPr>
          <w:rFonts w:ascii="宋体" w:hAnsi="宋体"/>
          <w:szCs w:val="21"/>
        </w:rPr>
        <w:t>关于监理人的监理内容：。</w:t>
      </w:r>
    </w:p>
    <w:p>
      <w:pPr>
        <w:spacing w:line="360" w:lineRule="auto"/>
        <w:ind w:firstLine="420" w:firstLineChars="200"/>
        <w:jc w:val="left"/>
        <w:rPr>
          <w:rFonts w:ascii="宋体" w:hAnsi="宋体"/>
          <w:szCs w:val="21"/>
        </w:rPr>
      </w:pPr>
      <w:r>
        <w:rPr>
          <w:rFonts w:ascii="宋体" w:hAnsi="宋体"/>
          <w:szCs w:val="21"/>
        </w:rPr>
        <w:t>关于监理人的监理权限：。</w:t>
      </w:r>
    </w:p>
    <w:p>
      <w:pPr>
        <w:spacing w:line="360" w:lineRule="auto"/>
        <w:ind w:firstLine="420" w:firstLineChars="200"/>
        <w:rPr>
          <w:rFonts w:ascii="宋体" w:hAnsi="宋体"/>
          <w:szCs w:val="21"/>
          <w:u w:val="single"/>
        </w:rPr>
      </w:pPr>
      <w:r>
        <w:rPr>
          <w:rFonts w:ascii="宋体" w:hAnsi="宋体"/>
          <w:szCs w:val="21"/>
        </w:rPr>
        <w:t>关于监理人在施工现场的办公场所、生活场所的提供和费用承担的约定：</w:t>
      </w:r>
    </w:p>
    <w:p>
      <w:pPr>
        <w:spacing w:line="360" w:lineRule="auto"/>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4.2监理人员</w:t>
      </w:r>
    </w:p>
    <w:p>
      <w:pPr>
        <w:spacing w:line="360" w:lineRule="auto"/>
        <w:ind w:firstLine="420" w:firstLineChars="200"/>
        <w:rPr>
          <w:rFonts w:ascii="宋体" w:hAnsi="宋体"/>
          <w:szCs w:val="21"/>
        </w:rPr>
      </w:pPr>
      <w:r>
        <w:rPr>
          <w:rFonts w:ascii="宋体" w:hAnsi="宋体"/>
          <w:szCs w:val="21"/>
        </w:rPr>
        <w:t>总监理工程师：</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监理工程师注册证书号：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监理工程师执业印章号：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4.4商定或确定</w:t>
      </w:r>
    </w:p>
    <w:p>
      <w:pPr>
        <w:spacing w:line="360" w:lineRule="auto"/>
        <w:ind w:firstLine="420" w:firstLineChars="200"/>
        <w:rPr>
          <w:rFonts w:ascii="宋体" w:hAnsi="宋体"/>
          <w:szCs w:val="21"/>
        </w:rPr>
      </w:pPr>
      <w:bookmarkStart w:id="323"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ascii="宋体" w:hAnsi="宋体"/>
          <w:szCs w:val="21"/>
        </w:rPr>
        <w:t>。</w:t>
      </w:r>
    </w:p>
    <w:p>
      <w:pPr>
        <w:pStyle w:val="5"/>
        <w:spacing w:before="120" w:after="120" w:line="360" w:lineRule="auto"/>
        <w:rPr>
          <w:rFonts w:ascii="宋体" w:hAnsi="宋体" w:eastAsia="宋体"/>
          <w:b w:val="0"/>
          <w:sz w:val="21"/>
          <w:szCs w:val="21"/>
        </w:rPr>
      </w:pPr>
      <w:bookmarkStart w:id="324" w:name="_Toc351203637"/>
      <w:r>
        <w:rPr>
          <w:rFonts w:ascii="宋体" w:hAnsi="宋体" w:eastAsia="宋体"/>
          <w:b w:val="0"/>
          <w:sz w:val="21"/>
          <w:szCs w:val="21"/>
        </w:rPr>
        <w:t>5</w:t>
      </w:r>
      <w:bookmarkEnd w:id="323"/>
      <w:bookmarkStart w:id="325" w:name="_Toc296347162"/>
      <w:bookmarkStart w:id="326" w:name="_Toc297120463"/>
      <w:bookmarkStart w:id="327" w:name="_Toc296503163"/>
      <w:bookmarkStart w:id="328" w:name="_Toc296891203"/>
      <w:bookmarkStart w:id="329" w:name="_Toc292559367"/>
      <w:bookmarkStart w:id="330" w:name="_Toc297048349"/>
      <w:bookmarkStart w:id="331" w:name="_Toc296944502"/>
      <w:bookmarkStart w:id="332" w:name="_Toc292559872"/>
      <w:bookmarkStart w:id="333" w:name="_Toc296890991"/>
      <w:bookmarkStart w:id="334" w:name="_Toc296346664"/>
      <w:r>
        <w:rPr>
          <w:rFonts w:ascii="宋体" w:hAnsi="宋体" w:eastAsia="宋体"/>
          <w:b w:val="0"/>
          <w:sz w:val="21"/>
          <w:szCs w:val="21"/>
        </w:rPr>
        <w:t>.工程质量</w:t>
      </w:r>
      <w:bookmarkEnd w:id="324"/>
    </w:p>
    <w:p>
      <w:pPr>
        <w:spacing w:after="120" w:line="360" w:lineRule="auto"/>
        <w:ind w:firstLine="420" w:firstLineChars="200"/>
        <w:outlineLvl w:val="0"/>
        <w:rPr>
          <w:rFonts w:ascii="宋体" w:hAnsi="宋体"/>
          <w:szCs w:val="21"/>
        </w:rPr>
      </w:pPr>
      <w:r>
        <w:rPr>
          <w:rFonts w:ascii="宋体" w:hAnsi="宋体"/>
          <w:szCs w:val="21"/>
        </w:rPr>
        <w:t>5.1质量要求</w:t>
      </w:r>
    </w:p>
    <w:p>
      <w:pPr>
        <w:spacing w:line="360" w:lineRule="auto"/>
        <w:ind w:firstLine="420" w:firstLineChars="200"/>
        <w:jc w:val="left"/>
        <w:rPr>
          <w:rFonts w:ascii="宋体" w:hAnsi="宋体"/>
          <w:szCs w:val="21"/>
          <w:u w:val="single"/>
        </w:rPr>
      </w:pPr>
      <w:r>
        <w:rPr>
          <w:rFonts w:ascii="宋体" w:hAnsi="宋体"/>
          <w:szCs w:val="21"/>
        </w:rPr>
        <w:t>5.1.</w:t>
      </w:r>
      <w:r>
        <w:rPr>
          <w:rFonts w:hint="eastAsia" w:ascii="宋体" w:hAnsi="宋体"/>
          <w:szCs w:val="21"/>
        </w:rPr>
        <w:t>1</w:t>
      </w:r>
      <w:r>
        <w:rPr>
          <w:rFonts w:ascii="宋体" w:hAnsi="宋体"/>
          <w:szCs w:val="21"/>
        </w:rPr>
        <w:t>特殊质量标准和要求：</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kern w:val="0"/>
          <w:szCs w:val="21"/>
        </w:rPr>
        <w:t>5.1.</w:t>
      </w:r>
      <w:r>
        <w:rPr>
          <w:rFonts w:hint="eastAsia" w:ascii="宋体" w:hAnsi="宋体"/>
          <w:kern w:val="0"/>
          <w:szCs w:val="21"/>
        </w:rPr>
        <w:t>4工程质量创建目标约定</w:t>
      </w:r>
      <w:r>
        <w:rPr>
          <w:rFonts w:ascii="宋体" w:hAnsi="宋体"/>
          <w:szCs w:val="21"/>
        </w:rPr>
        <w:t>：</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超出质量创建目标的奖励</w:t>
      </w:r>
      <w:r>
        <w:rPr>
          <w:rFonts w:ascii="宋体" w:hAnsi="宋体"/>
          <w:szCs w:val="21"/>
        </w:rPr>
        <w:t>：</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其他奖惩约定</w:t>
      </w:r>
      <w:r>
        <w:rPr>
          <w:rFonts w:ascii="宋体" w:hAnsi="宋体"/>
          <w:kern w:val="0"/>
          <w:szCs w:val="21"/>
        </w:rPr>
        <w:t>：</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bookmarkStart w:id="335" w:name="_Toc303539106"/>
      <w:bookmarkStart w:id="336" w:name="_Toc297216155"/>
      <w:bookmarkStart w:id="337" w:name="_Toc304295527"/>
      <w:bookmarkStart w:id="338" w:name="_Toc318581164"/>
      <w:bookmarkStart w:id="339" w:name="_Toc312677997"/>
      <w:bookmarkStart w:id="340" w:name="_Toc300934949"/>
      <w:bookmarkStart w:id="341" w:name="_Toc297123496"/>
      <w:r>
        <w:rPr>
          <w:rFonts w:ascii="宋体" w:hAnsi="宋体"/>
          <w:szCs w:val="21"/>
        </w:rPr>
        <w:t>5.3隐蔽工程检查</w:t>
      </w:r>
    </w:p>
    <w:p>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pPr>
        <w:spacing w:line="360" w:lineRule="auto"/>
        <w:ind w:firstLine="420" w:firstLineChars="200"/>
        <w:jc w:val="left"/>
        <w:rPr>
          <w:rFonts w:ascii="宋体" w:hAnsi="宋体"/>
          <w:szCs w:val="21"/>
        </w:rPr>
      </w:pPr>
      <w:r>
        <w:rPr>
          <w:rFonts w:ascii="宋体" w:hAnsi="宋体"/>
          <w:szCs w:val="21"/>
        </w:rPr>
        <w:t>关于延期最长不得超过：小时。</w:t>
      </w:r>
    </w:p>
    <w:p>
      <w:pPr>
        <w:pStyle w:val="5"/>
        <w:spacing w:before="120" w:after="120" w:line="360" w:lineRule="auto"/>
        <w:rPr>
          <w:rFonts w:ascii="宋体" w:hAnsi="宋体" w:eastAsia="宋体"/>
          <w:b w:val="0"/>
          <w:sz w:val="21"/>
          <w:szCs w:val="21"/>
        </w:rPr>
      </w:pPr>
      <w:bookmarkStart w:id="342" w:name="_Toc351203638"/>
      <w:r>
        <w:rPr>
          <w:rFonts w:ascii="宋体" w:hAnsi="宋体" w:eastAsia="宋体"/>
          <w:b w:val="0"/>
          <w:sz w:val="21"/>
          <w:szCs w:val="21"/>
        </w:rPr>
        <w:t>6.安全文明施工与环境保护</w:t>
      </w:r>
      <w:bookmarkEnd w:id="342"/>
    </w:p>
    <w:p>
      <w:pPr>
        <w:spacing w:after="120" w:line="360" w:lineRule="auto"/>
        <w:ind w:firstLine="420" w:firstLineChars="200"/>
        <w:rPr>
          <w:rFonts w:ascii="宋体" w:hAnsi="宋体"/>
          <w:szCs w:val="21"/>
        </w:rPr>
      </w:pPr>
      <w:r>
        <w:rPr>
          <w:rFonts w:ascii="宋体" w:hAnsi="宋体"/>
          <w:szCs w:val="21"/>
        </w:rPr>
        <w:t>6.1安全文明施工</w:t>
      </w:r>
    </w:p>
    <w:p>
      <w:pPr>
        <w:spacing w:line="360" w:lineRule="auto"/>
        <w:ind w:firstLine="420" w:firstLineChars="200"/>
        <w:jc w:val="left"/>
        <w:rPr>
          <w:rFonts w:ascii="宋体" w:hAnsi="宋体"/>
          <w:szCs w:val="21"/>
          <w:u w:val="single"/>
        </w:rPr>
      </w:pPr>
      <w:r>
        <w:rPr>
          <w:rFonts w:ascii="宋体" w:hAnsi="宋体"/>
          <w:szCs w:val="21"/>
        </w:rPr>
        <w:t>6.1.1项目安全生产的达标目标及相应事项的约定：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6.1.4关于治安保卫的特别约定：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关于编制施工场地治安管理计划的约定：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p>
    <w:p>
      <w:pPr>
        <w:spacing w:line="360" w:lineRule="auto"/>
        <w:jc w:val="left"/>
        <w:rPr>
          <w:rFonts w:ascii="宋体" w:hAnsi="宋体"/>
          <w:szCs w:val="21"/>
        </w:rPr>
      </w:pP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6.1.6关于安全文明施工费支付比例和支付期限的约定：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6.1.7安全文明施工创建目标约定</w:t>
      </w:r>
      <w:r>
        <w:rPr>
          <w:rFonts w:ascii="宋体" w:hAnsi="宋体"/>
          <w:szCs w:val="21"/>
        </w:rPr>
        <w:t>：</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超出安全文明施工创建目标的奖励</w:t>
      </w:r>
      <w:r>
        <w:rPr>
          <w:rFonts w:ascii="宋体" w:hAnsi="宋体"/>
          <w:szCs w:val="21"/>
        </w:rPr>
        <w:t>：</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其他奖惩约定</w:t>
      </w:r>
      <w:r>
        <w:rPr>
          <w:rFonts w:ascii="宋体" w:hAnsi="宋体"/>
          <w:kern w:val="0"/>
          <w:szCs w:val="21"/>
        </w:rPr>
        <w:t>：</w:t>
      </w:r>
    </w:p>
    <w:p>
      <w:pPr>
        <w:spacing w:line="360" w:lineRule="auto"/>
        <w:jc w:val="left"/>
        <w:rPr>
          <w:rFonts w:ascii="宋体" w:hAnsi="宋体"/>
          <w:szCs w:val="21"/>
        </w:rPr>
      </w:pPr>
      <w:r>
        <w:rPr>
          <w:rFonts w:ascii="宋体" w:hAnsi="宋体"/>
          <w:szCs w:val="21"/>
        </w:rPr>
        <w:t>。</w:t>
      </w:r>
    </w:p>
    <w:bookmarkEnd w:id="335"/>
    <w:bookmarkEnd w:id="336"/>
    <w:bookmarkEnd w:id="337"/>
    <w:bookmarkEnd w:id="338"/>
    <w:bookmarkEnd w:id="339"/>
    <w:bookmarkEnd w:id="340"/>
    <w:bookmarkEnd w:id="341"/>
    <w:p>
      <w:pPr>
        <w:pStyle w:val="5"/>
        <w:spacing w:before="120" w:after="120" w:line="360" w:lineRule="auto"/>
        <w:rPr>
          <w:rFonts w:ascii="宋体" w:hAnsi="宋体" w:eastAsia="宋体"/>
          <w:b w:val="0"/>
          <w:sz w:val="21"/>
          <w:szCs w:val="21"/>
        </w:rPr>
      </w:pPr>
      <w:bookmarkStart w:id="343" w:name="_Toc351203639"/>
      <w:r>
        <w:rPr>
          <w:rFonts w:ascii="宋体" w:hAnsi="宋体" w:eastAsia="宋体"/>
          <w:b w:val="0"/>
          <w:sz w:val="21"/>
          <w:szCs w:val="21"/>
        </w:rPr>
        <w:t>7.工期和进度</w:t>
      </w:r>
      <w:bookmarkEnd w:id="343"/>
    </w:p>
    <w:p>
      <w:pPr>
        <w:spacing w:after="120" w:line="360" w:lineRule="auto"/>
        <w:ind w:firstLine="420" w:firstLineChars="200"/>
        <w:rPr>
          <w:rFonts w:ascii="宋体" w:hAnsi="宋体"/>
          <w:szCs w:val="21"/>
        </w:rPr>
      </w:pPr>
      <w:r>
        <w:rPr>
          <w:rFonts w:ascii="宋体" w:hAnsi="宋体"/>
          <w:szCs w:val="21"/>
        </w:rPr>
        <w:t>7.1施工组织设计</w:t>
      </w:r>
    </w:p>
    <w:p>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w:t>
      </w:r>
      <w:r>
        <w:rPr>
          <w:rFonts w:hint="eastAsia" w:ascii="宋体" w:hAnsi="宋体"/>
          <w:szCs w:val="21"/>
        </w:rPr>
        <w:t>1合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p>
    <w:p>
      <w:pPr>
        <w:autoSpaceDE w:val="0"/>
        <w:autoSpaceDN w:val="0"/>
        <w:adjustRightInd w:val="0"/>
        <w:spacing w:line="360" w:lineRule="auto"/>
        <w:jc w:val="left"/>
        <w:rPr>
          <w:rFonts w:ascii="宋体" w:hAnsi="宋体"/>
          <w:kern w:val="0"/>
          <w:szCs w:val="21"/>
        </w:rPr>
      </w:pP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7.1.2</w:t>
      </w:r>
      <w:r>
        <w:rPr>
          <w:rFonts w:ascii="宋体" w:hAnsi="宋体"/>
          <w:kern w:val="0"/>
          <w:szCs w:val="21"/>
        </w:rPr>
        <w:t>施工组织设计的提交和修改</w:t>
      </w:r>
    </w:p>
    <w:p>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p>
    <w:p>
      <w:pPr>
        <w:autoSpaceDE w:val="0"/>
        <w:autoSpaceDN w:val="0"/>
        <w:adjustRightInd w:val="0"/>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p>
    <w:p>
      <w:pPr>
        <w:spacing w:after="120" w:line="360" w:lineRule="auto"/>
        <w:ind w:firstLine="420" w:firstLineChars="200"/>
        <w:rPr>
          <w:rFonts w:ascii="宋体" w:hAnsi="宋体"/>
          <w:szCs w:val="21"/>
        </w:rPr>
      </w:pPr>
      <w:r>
        <w:rPr>
          <w:rFonts w:ascii="宋体" w:hAnsi="宋体"/>
          <w:szCs w:val="21"/>
        </w:rPr>
        <w:t>7</w:t>
      </w:r>
      <w:bookmarkStart w:id="344" w:name="_Toc303539123"/>
      <w:bookmarkStart w:id="345" w:name="_Toc297123514"/>
      <w:bookmarkStart w:id="346" w:name="_Toc312678005"/>
      <w:bookmarkStart w:id="347" w:name="_Toc304295541"/>
      <w:bookmarkStart w:id="348" w:name="_Toc297216173"/>
      <w:bookmarkStart w:id="349" w:name="_Toc312677479"/>
      <w:bookmarkStart w:id="350" w:name="_Toc300934966"/>
      <w:r>
        <w:rPr>
          <w:rFonts w:ascii="宋体" w:hAnsi="宋体"/>
          <w:szCs w:val="21"/>
        </w:rPr>
        <w:t>.2施工进度计划</w:t>
      </w:r>
    </w:p>
    <w:p>
      <w:pPr>
        <w:spacing w:line="360" w:lineRule="auto"/>
        <w:ind w:firstLine="420" w:firstLineChars="200"/>
        <w:jc w:val="left"/>
        <w:rPr>
          <w:rFonts w:ascii="宋体" w:hAnsi="宋体"/>
          <w:szCs w:val="21"/>
        </w:rPr>
      </w:pPr>
      <w:r>
        <w:rPr>
          <w:rFonts w:ascii="宋体" w:hAnsi="宋体"/>
          <w:szCs w:val="21"/>
        </w:rPr>
        <w:t>7.2.2施工进度计划的修订</w:t>
      </w:r>
    </w:p>
    <w:p>
      <w:pPr>
        <w:spacing w:line="360" w:lineRule="auto"/>
        <w:ind w:firstLine="420" w:firstLineChars="200"/>
        <w:jc w:val="left"/>
        <w:rPr>
          <w:rFonts w:ascii="宋体" w:hAnsi="宋体"/>
          <w:szCs w:val="21"/>
        </w:rPr>
      </w:pPr>
      <w:r>
        <w:rPr>
          <w:rFonts w:ascii="宋体" w:hAnsi="宋体"/>
          <w:szCs w:val="21"/>
        </w:rPr>
        <w:t>发包人和监理人在收到修订的施工进度计划后确认或提出修改意见的期限：。</w:t>
      </w:r>
    </w:p>
    <w:p>
      <w:pPr>
        <w:spacing w:after="120" w:line="360" w:lineRule="auto"/>
        <w:ind w:firstLine="420" w:firstLineChars="200"/>
        <w:rPr>
          <w:rFonts w:ascii="宋体" w:hAnsi="宋体"/>
          <w:szCs w:val="21"/>
        </w:rPr>
      </w:pPr>
      <w:r>
        <w:rPr>
          <w:rFonts w:ascii="宋体" w:hAnsi="宋体"/>
          <w:szCs w:val="21"/>
        </w:rPr>
        <w:t>7.3开工</w:t>
      </w:r>
    </w:p>
    <w:p>
      <w:pPr>
        <w:spacing w:line="360" w:lineRule="auto"/>
        <w:ind w:firstLine="420" w:firstLineChars="200"/>
        <w:jc w:val="left"/>
        <w:rPr>
          <w:rFonts w:ascii="宋体" w:hAnsi="宋体"/>
          <w:szCs w:val="21"/>
        </w:rPr>
      </w:pPr>
      <w:r>
        <w:rPr>
          <w:rFonts w:ascii="宋体" w:hAnsi="宋体"/>
          <w:szCs w:val="21"/>
        </w:rPr>
        <w:t>7.3.1开工准备</w:t>
      </w:r>
    </w:p>
    <w:p>
      <w:pPr>
        <w:spacing w:line="360" w:lineRule="auto"/>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rPr>
        <w:t>。</w:t>
      </w:r>
    </w:p>
    <w:p>
      <w:pPr>
        <w:spacing w:line="360" w:lineRule="auto"/>
        <w:ind w:firstLine="645"/>
        <w:jc w:val="left"/>
        <w:rPr>
          <w:rFonts w:ascii="宋体" w:hAnsi="宋体"/>
          <w:szCs w:val="21"/>
          <w:u w:val="single"/>
        </w:rPr>
      </w:pPr>
      <w:r>
        <w:rPr>
          <w:rFonts w:ascii="宋体" w:hAnsi="宋体"/>
          <w:szCs w:val="21"/>
        </w:rPr>
        <w:t>关于发包人应完成的其他开工准备工作及期限：</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7.3.2开工通知</w:t>
      </w:r>
    </w:p>
    <w:p>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344"/>
    <w:bookmarkEnd w:id="345"/>
    <w:bookmarkEnd w:id="346"/>
    <w:bookmarkEnd w:id="347"/>
    <w:bookmarkEnd w:id="348"/>
    <w:bookmarkEnd w:id="349"/>
    <w:bookmarkEnd w:id="350"/>
    <w:p>
      <w:pPr>
        <w:spacing w:after="120" w:line="360" w:lineRule="auto"/>
        <w:ind w:firstLine="420" w:firstLineChars="200"/>
        <w:rPr>
          <w:rFonts w:ascii="宋体" w:hAnsi="宋体"/>
          <w:szCs w:val="21"/>
        </w:rPr>
      </w:pPr>
      <w:r>
        <w:rPr>
          <w:rFonts w:ascii="宋体" w:hAnsi="宋体"/>
          <w:szCs w:val="21"/>
        </w:rPr>
        <w:t>7.4测量放线</w:t>
      </w:r>
    </w:p>
    <w:p>
      <w:pPr>
        <w:spacing w:line="360" w:lineRule="auto"/>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p>
    <w:p>
      <w:pPr>
        <w:spacing w:after="120" w:line="360" w:lineRule="auto"/>
        <w:ind w:firstLine="420" w:firstLineChars="200"/>
        <w:rPr>
          <w:rFonts w:ascii="宋体" w:hAnsi="宋体"/>
          <w:szCs w:val="21"/>
        </w:rPr>
      </w:pPr>
      <w:r>
        <w:rPr>
          <w:rFonts w:ascii="宋体" w:hAnsi="宋体"/>
          <w:szCs w:val="21"/>
        </w:rPr>
        <w:t>7</w:t>
      </w:r>
      <w:bookmarkStart w:id="351" w:name="_Toc304295546"/>
      <w:bookmarkStart w:id="352" w:name="_Toc300934968"/>
      <w:bookmarkStart w:id="353" w:name="_Toc303539125"/>
      <w:bookmarkStart w:id="354" w:name="_Toc297216175"/>
      <w:bookmarkStart w:id="355" w:name="_Toc312678010"/>
      <w:bookmarkStart w:id="356" w:name="_Toc297123516"/>
      <w:bookmarkStart w:id="357" w:name="_Toc312677484"/>
      <w:r>
        <w:rPr>
          <w:rFonts w:ascii="宋体" w:hAnsi="宋体"/>
          <w:szCs w:val="21"/>
        </w:rPr>
        <w:t>.5工期延误</w:t>
      </w:r>
    </w:p>
    <w:bookmarkEnd w:id="351"/>
    <w:bookmarkEnd w:id="352"/>
    <w:bookmarkEnd w:id="353"/>
    <w:bookmarkEnd w:id="354"/>
    <w:bookmarkEnd w:id="355"/>
    <w:bookmarkEnd w:id="356"/>
    <w:bookmarkEnd w:id="357"/>
    <w:p>
      <w:pPr>
        <w:spacing w:line="360" w:lineRule="auto"/>
        <w:ind w:firstLine="420" w:firstLineChars="200"/>
        <w:jc w:val="left"/>
        <w:rPr>
          <w:rFonts w:ascii="宋体" w:hAnsi="宋体"/>
          <w:szCs w:val="21"/>
        </w:rPr>
      </w:pPr>
      <w:r>
        <w:rPr>
          <w:rFonts w:ascii="宋体" w:hAnsi="宋体"/>
          <w:szCs w:val="21"/>
        </w:rPr>
        <w:t>7.5.1因发包人原因导致工期延误</w:t>
      </w:r>
    </w:p>
    <w:p>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7</w:t>
      </w:r>
      <w:bookmarkStart w:id="358" w:name="_Toc312678012"/>
      <w:bookmarkStart w:id="359" w:name="_Toc312677486"/>
      <w:bookmarkStart w:id="360" w:name="_Toc318581169"/>
      <w:bookmarkStart w:id="361" w:name="_Toc303539127"/>
      <w:bookmarkStart w:id="362" w:name="_Toc304295548"/>
      <w:bookmarkStart w:id="363" w:name="_Toc297216177"/>
      <w:bookmarkStart w:id="364" w:name="_Toc300934970"/>
      <w:bookmarkStart w:id="365" w:name="_Toc297123518"/>
      <w:r>
        <w:rPr>
          <w:rFonts w:ascii="宋体" w:hAnsi="宋体"/>
          <w:szCs w:val="21"/>
        </w:rPr>
        <w:t>.5.2因承包人原因导致工期延误</w:t>
      </w:r>
    </w:p>
    <w:bookmarkEnd w:id="358"/>
    <w:bookmarkEnd w:id="359"/>
    <w:bookmarkEnd w:id="360"/>
    <w:p>
      <w:pPr>
        <w:spacing w:line="360" w:lineRule="auto"/>
        <w:ind w:firstLine="420" w:firstLineChars="200"/>
        <w:jc w:val="left"/>
        <w:rPr>
          <w:rFonts w:ascii="宋体" w:hAnsi="宋体"/>
          <w:szCs w:val="21"/>
          <w:u w:val="single"/>
        </w:rPr>
      </w:pPr>
      <w:r>
        <w:rPr>
          <w:rFonts w:ascii="宋体" w:hAnsi="宋体"/>
          <w:szCs w:val="21"/>
        </w:rPr>
        <w:t>因</w:t>
      </w:r>
      <w:bookmarkStart w:id="366" w:name="_Toc312677487"/>
      <w:bookmarkStart w:id="367" w:name="_Toc312678013"/>
      <w:bookmarkStart w:id="368" w:name="_Toc318581170"/>
      <w:r>
        <w:rPr>
          <w:rFonts w:ascii="宋体" w:hAnsi="宋体"/>
          <w:szCs w:val="21"/>
        </w:rPr>
        <w:t>承包人原因造成工期延误，逾期竣工违约金的计算方法为：</w:t>
      </w:r>
    </w:p>
    <w:p>
      <w:pPr>
        <w:spacing w:line="360" w:lineRule="auto"/>
        <w:jc w:val="left"/>
        <w:rPr>
          <w:rFonts w:ascii="宋体" w:hAnsi="宋体"/>
          <w:szCs w:val="21"/>
        </w:rPr>
      </w:pPr>
      <w:r>
        <w:rPr>
          <w:rFonts w:ascii="宋体" w:hAnsi="宋体"/>
          <w:szCs w:val="21"/>
        </w:rPr>
        <w:t>。</w:t>
      </w:r>
      <w:bookmarkEnd w:id="361"/>
      <w:bookmarkEnd w:id="362"/>
      <w:bookmarkEnd w:id="363"/>
      <w:bookmarkEnd w:id="364"/>
      <w:bookmarkEnd w:id="365"/>
      <w:bookmarkEnd w:id="366"/>
      <w:bookmarkEnd w:id="367"/>
    </w:p>
    <w:bookmarkEnd w:id="368"/>
    <w:p>
      <w:pPr>
        <w:spacing w:line="360" w:lineRule="auto"/>
        <w:ind w:firstLine="420" w:firstLineChars="200"/>
        <w:jc w:val="left"/>
        <w:rPr>
          <w:rFonts w:ascii="宋体" w:hAnsi="宋体"/>
          <w:szCs w:val="21"/>
        </w:rPr>
      </w:pPr>
      <w:r>
        <w:rPr>
          <w:rFonts w:ascii="宋体" w:hAnsi="宋体"/>
          <w:szCs w:val="21"/>
        </w:rPr>
        <w:t>因承包人原因造成工期延误，逾</w:t>
      </w:r>
      <w:bookmarkStart w:id="369" w:name="_Toc312678014"/>
      <w:bookmarkStart w:id="370" w:name="_Toc318581171"/>
      <w:r>
        <w:rPr>
          <w:rFonts w:ascii="宋体" w:hAnsi="宋体"/>
          <w:szCs w:val="21"/>
        </w:rPr>
        <w:t>期竣工违约金的上限：</w:t>
      </w:r>
    </w:p>
    <w:p>
      <w:pPr>
        <w:spacing w:line="360" w:lineRule="auto"/>
        <w:jc w:val="left"/>
        <w:rPr>
          <w:rFonts w:ascii="宋体" w:hAnsi="宋体"/>
          <w:szCs w:val="21"/>
        </w:rPr>
      </w:pPr>
      <w:r>
        <w:rPr>
          <w:rFonts w:ascii="宋体" w:hAnsi="宋体"/>
          <w:szCs w:val="21"/>
        </w:rPr>
        <w:t>。</w:t>
      </w:r>
    </w:p>
    <w:bookmarkEnd w:id="369"/>
    <w:bookmarkEnd w:id="370"/>
    <w:p>
      <w:pPr>
        <w:spacing w:after="120" w:line="360" w:lineRule="auto"/>
        <w:ind w:firstLine="420" w:firstLineChars="200"/>
        <w:rPr>
          <w:rFonts w:ascii="宋体" w:hAnsi="宋体"/>
          <w:szCs w:val="21"/>
        </w:rPr>
      </w:pPr>
      <w:r>
        <w:rPr>
          <w:rFonts w:ascii="宋体" w:hAnsi="宋体"/>
          <w:szCs w:val="21"/>
        </w:rPr>
        <w:t>7</w:t>
      </w:r>
      <w:bookmarkStart w:id="371" w:name="_Toc297216178"/>
      <w:bookmarkStart w:id="372" w:name="_Toc300934971"/>
      <w:bookmarkStart w:id="373" w:name="_Toc304295549"/>
      <w:bookmarkStart w:id="374" w:name="_Toc297123519"/>
      <w:bookmarkStart w:id="375" w:name="_Toc303539128"/>
      <w:bookmarkStart w:id="376" w:name="_Toc312678015"/>
      <w:r>
        <w:rPr>
          <w:rFonts w:ascii="宋体" w:hAnsi="宋体"/>
          <w:szCs w:val="21"/>
        </w:rPr>
        <w:t>.6不</w:t>
      </w:r>
      <w:bookmarkEnd w:id="371"/>
      <w:bookmarkEnd w:id="372"/>
      <w:bookmarkEnd w:id="373"/>
      <w:bookmarkEnd w:id="374"/>
      <w:bookmarkEnd w:id="375"/>
      <w:bookmarkEnd w:id="376"/>
      <w:r>
        <w:rPr>
          <w:rFonts w:ascii="宋体" w:hAnsi="宋体"/>
          <w:szCs w:val="21"/>
        </w:rPr>
        <w:t>利物质条件</w:t>
      </w:r>
    </w:p>
    <w:p>
      <w:pPr>
        <w:spacing w:line="360" w:lineRule="auto"/>
        <w:ind w:firstLine="420" w:firstLineChars="200"/>
        <w:jc w:val="left"/>
        <w:rPr>
          <w:rFonts w:ascii="宋体" w:hAnsi="宋体"/>
          <w:szCs w:val="21"/>
          <w:u w:val="single"/>
        </w:rPr>
      </w:pPr>
      <w:bookmarkStart w:id="377" w:name="_Toc318581172"/>
      <w:bookmarkStart w:id="378" w:name="_Toc312678016"/>
      <w:bookmarkStart w:id="379" w:name="_Toc297123520"/>
      <w:bookmarkStart w:id="380" w:name="_Toc304295550"/>
      <w:bookmarkStart w:id="381" w:name="_Toc297216179"/>
      <w:bookmarkStart w:id="382" w:name="_Toc303539129"/>
      <w:bookmarkStart w:id="383" w:name="_Toc300934972"/>
      <w:r>
        <w:rPr>
          <w:rFonts w:ascii="宋体" w:hAnsi="宋体"/>
          <w:szCs w:val="21"/>
        </w:rPr>
        <w:t>不利物质条件的其他情形和有关约定：</w:t>
      </w:r>
    </w:p>
    <w:p>
      <w:pPr>
        <w:spacing w:line="360" w:lineRule="auto"/>
        <w:jc w:val="left"/>
        <w:rPr>
          <w:rFonts w:ascii="宋体" w:hAnsi="宋体"/>
          <w:szCs w:val="21"/>
        </w:rPr>
      </w:pPr>
      <w:r>
        <w:rPr>
          <w:rFonts w:ascii="宋体" w:hAnsi="宋体"/>
          <w:szCs w:val="21"/>
        </w:rPr>
        <w:t>。</w:t>
      </w:r>
    </w:p>
    <w:bookmarkEnd w:id="377"/>
    <w:bookmarkEnd w:id="378"/>
    <w:bookmarkEnd w:id="379"/>
    <w:bookmarkEnd w:id="380"/>
    <w:bookmarkEnd w:id="381"/>
    <w:bookmarkEnd w:id="382"/>
    <w:bookmarkEnd w:id="383"/>
    <w:p>
      <w:pPr>
        <w:spacing w:after="120" w:line="360" w:lineRule="auto"/>
        <w:ind w:firstLine="420" w:firstLineChars="200"/>
        <w:rPr>
          <w:rFonts w:ascii="宋体" w:hAnsi="宋体"/>
          <w:szCs w:val="21"/>
        </w:rPr>
      </w:pPr>
      <w:r>
        <w:rPr>
          <w:rFonts w:ascii="宋体" w:hAnsi="宋体"/>
          <w:szCs w:val="21"/>
        </w:rPr>
        <w:t>7</w:t>
      </w:r>
      <w:bookmarkStart w:id="384" w:name="_Toc303539130"/>
      <w:bookmarkStart w:id="385" w:name="_Toc300934973"/>
      <w:bookmarkStart w:id="386" w:name="_Toc304295551"/>
      <w:bookmarkStart w:id="387" w:name="_Toc297216180"/>
      <w:bookmarkStart w:id="388" w:name="_Toc297123521"/>
      <w:bookmarkStart w:id="389" w:name="_Toc312678017"/>
      <w:r>
        <w:rPr>
          <w:rFonts w:ascii="宋体" w:hAnsi="宋体"/>
          <w:szCs w:val="21"/>
        </w:rPr>
        <w:t>.7异常恶劣的气候条件</w:t>
      </w:r>
    </w:p>
    <w:bookmarkEnd w:id="384"/>
    <w:bookmarkEnd w:id="385"/>
    <w:bookmarkEnd w:id="386"/>
    <w:bookmarkEnd w:id="387"/>
    <w:bookmarkEnd w:id="388"/>
    <w:bookmarkEnd w:id="389"/>
    <w:p>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60" w:lineRule="auto"/>
        <w:ind w:firstLine="420" w:firstLineChars="200"/>
        <w:jc w:val="left"/>
        <w:rPr>
          <w:rFonts w:ascii="宋体" w:hAnsi="宋体"/>
          <w:szCs w:val="21"/>
          <w:u w:val="single"/>
        </w:rPr>
      </w:pPr>
      <w:r>
        <w:rPr>
          <w:rFonts w:ascii="宋体" w:hAnsi="宋体"/>
          <w:szCs w:val="21"/>
        </w:rPr>
        <w:t>（1）；</w:t>
      </w:r>
    </w:p>
    <w:p>
      <w:pPr>
        <w:spacing w:line="360" w:lineRule="auto"/>
        <w:ind w:firstLine="420" w:firstLineChars="200"/>
        <w:jc w:val="left"/>
        <w:rPr>
          <w:rFonts w:ascii="宋体" w:hAnsi="宋体"/>
          <w:szCs w:val="21"/>
        </w:rPr>
      </w:pPr>
      <w:r>
        <w:rPr>
          <w:rFonts w:ascii="宋体" w:hAnsi="宋体"/>
          <w:szCs w:val="21"/>
        </w:rPr>
        <w:t>（2）；</w:t>
      </w:r>
    </w:p>
    <w:p>
      <w:pPr>
        <w:spacing w:line="360" w:lineRule="auto"/>
        <w:ind w:firstLine="420" w:firstLineChars="200"/>
        <w:jc w:val="left"/>
        <w:rPr>
          <w:rFonts w:ascii="宋体" w:hAnsi="宋体"/>
          <w:szCs w:val="21"/>
        </w:rPr>
      </w:pPr>
      <w:r>
        <w:rPr>
          <w:rFonts w:ascii="宋体" w:hAnsi="宋体"/>
          <w:szCs w:val="21"/>
        </w:rPr>
        <w:t>（3）。</w:t>
      </w:r>
    </w:p>
    <w:p>
      <w:pPr>
        <w:spacing w:after="120" w:line="360" w:lineRule="auto"/>
        <w:ind w:firstLine="420" w:firstLineChars="200"/>
        <w:outlineLvl w:val="0"/>
        <w:rPr>
          <w:rFonts w:ascii="宋体" w:hAnsi="宋体"/>
          <w:szCs w:val="21"/>
        </w:rPr>
      </w:pPr>
      <w:r>
        <w:rPr>
          <w:rFonts w:ascii="宋体" w:hAnsi="宋体"/>
          <w:szCs w:val="21"/>
        </w:rPr>
        <w:t>7.9提前竣工的奖励</w:t>
      </w:r>
    </w:p>
    <w:p>
      <w:pPr>
        <w:spacing w:line="360" w:lineRule="auto"/>
        <w:ind w:firstLine="420" w:firstLineChars="200"/>
        <w:jc w:val="left"/>
        <w:rPr>
          <w:rFonts w:ascii="宋体" w:hAnsi="宋体"/>
          <w:szCs w:val="21"/>
        </w:rPr>
      </w:pPr>
      <w:r>
        <w:rPr>
          <w:rFonts w:ascii="宋体" w:hAnsi="宋体"/>
          <w:szCs w:val="21"/>
        </w:rPr>
        <w:t>7.9.2提前竣工的奖励：。</w:t>
      </w:r>
    </w:p>
    <w:p>
      <w:pPr>
        <w:pStyle w:val="5"/>
        <w:spacing w:before="120" w:after="120" w:line="360" w:lineRule="auto"/>
        <w:rPr>
          <w:rFonts w:ascii="宋体" w:hAnsi="宋体" w:eastAsia="宋体"/>
          <w:b w:val="0"/>
          <w:sz w:val="21"/>
          <w:szCs w:val="21"/>
        </w:rPr>
      </w:pPr>
      <w:bookmarkStart w:id="390" w:name="_Toc351203640"/>
      <w:r>
        <w:rPr>
          <w:rFonts w:ascii="宋体" w:hAnsi="宋体" w:eastAsia="宋体"/>
          <w:b w:val="0"/>
          <w:sz w:val="21"/>
          <w:szCs w:val="21"/>
        </w:rPr>
        <w:t>8.材料与设备</w:t>
      </w:r>
      <w:bookmarkEnd w:id="390"/>
    </w:p>
    <w:bookmarkEnd w:id="325"/>
    <w:bookmarkEnd w:id="326"/>
    <w:bookmarkEnd w:id="327"/>
    <w:bookmarkEnd w:id="328"/>
    <w:bookmarkEnd w:id="329"/>
    <w:bookmarkEnd w:id="330"/>
    <w:bookmarkEnd w:id="331"/>
    <w:bookmarkEnd w:id="332"/>
    <w:bookmarkEnd w:id="333"/>
    <w:bookmarkEnd w:id="334"/>
    <w:p>
      <w:pPr>
        <w:spacing w:after="120" w:line="360" w:lineRule="auto"/>
        <w:ind w:firstLine="420" w:firstLineChars="200"/>
        <w:rPr>
          <w:rFonts w:ascii="宋体" w:hAnsi="宋体"/>
          <w:szCs w:val="21"/>
        </w:rPr>
      </w:pPr>
      <w:r>
        <w:rPr>
          <w:rFonts w:ascii="宋体" w:hAnsi="宋体"/>
          <w:szCs w:val="21"/>
        </w:rPr>
        <w:t>8</w:t>
      </w:r>
      <w:bookmarkStart w:id="391" w:name="_Toc296891207"/>
      <w:bookmarkStart w:id="392" w:name="_Toc296503167"/>
      <w:bookmarkStart w:id="393" w:name="_Toc303539136"/>
      <w:bookmarkStart w:id="394" w:name="_Toc304295556"/>
      <w:bookmarkStart w:id="395" w:name="_Toc300934979"/>
      <w:bookmarkStart w:id="396" w:name="_Toc297216186"/>
      <w:bookmarkStart w:id="397" w:name="_Toc280868654"/>
      <w:bookmarkStart w:id="398" w:name="_Toc297048353"/>
      <w:bookmarkStart w:id="399" w:name="_Toc292559372"/>
      <w:bookmarkStart w:id="400" w:name="_Toc297123527"/>
      <w:bookmarkStart w:id="401" w:name="_Toc296347166"/>
      <w:bookmarkStart w:id="402" w:name="_Toc296346668"/>
      <w:bookmarkStart w:id="403" w:name="_Toc312678019"/>
      <w:bookmarkStart w:id="404" w:name="_Toc296944506"/>
      <w:bookmarkStart w:id="405" w:name="_Toc292559877"/>
      <w:bookmarkStart w:id="406" w:name="_Toc296890995"/>
      <w:bookmarkStart w:id="407" w:name="_Toc312677493"/>
      <w:bookmarkStart w:id="408" w:name="_Toc297120467"/>
      <w:bookmarkStart w:id="409" w:name="_Toc280868656"/>
      <w:bookmarkStart w:id="410" w:name="_Toc267251424"/>
      <w:bookmarkStart w:id="411" w:name="_Toc280868655"/>
      <w:r>
        <w:rPr>
          <w:rFonts w:ascii="宋体" w:hAnsi="宋体"/>
          <w:szCs w:val="21"/>
        </w:rPr>
        <w:t>.4材料与工程设备的保管与使用</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Pr>
        <w:spacing w:line="360" w:lineRule="auto"/>
        <w:ind w:firstLine="420" w:firstLineChars="200"/>
        <w:jc w:val="left"/>
        <w:rPr>
          <w:rFonts w:ascii="宋体" w:hAnsi="宋体"/>
          <w:szCs w:val="21"/>
          <w:u w:val="single"/>
        </w:rPr>
      </w:pPr>
      <w:r>
        <w:rPr>
          <w:rFonts w:ascii="宋体" w:hAnsi="宋体"/>
          <w:szCs w:val="21"/>
        </w:rPr>
        <w:t>8</w:t>
      </w:r>
      <w:bookmarkStart w:id="412" w:name="_Toc292559878"/>
      <w:bookmarkStart w:id="413" w:name="_Toc292559373"/>
      <w:bookmarkStart w:id="414" w:name="_Toc304295557"/>
      <w:bookmarkStart w:id="415" w:name="_Toc297048354"/>
      <w:bookmarkStart w:id="416" w:name="_Toc318581173"/>
      <w:bookmarkStart w:id="417" w:name="_Toc296346669"/>
      <w:bookmarkStart w:id="418" w:name="_Toc296890996"/>
      <w:bookmarkStart w:id="419" w:name="_Toc312678020"/>
      <w:bookmarkStart w:id="420" w:name="_Toc297216187"/>
      <w:bookmarkStart w:id="421" w:name="_Toc296503168"/>
      <w:bookmarkStart w:id="422" w:name="_Toc297123528"/>
      <w:bookmarkStart w:id="423" w:name="_Toc296944507"/>
      <w:bookmarkStart w:id="424" w:name="_Toc296891208"/>
      <w:bookmarkStart w:id="425" w:name="_Toc312677494"/>
      <w:bookmarkStart w:id="426" w:name="_Toc303539137"/>
      <w:bookmarkStart w:id="427" w:name="_Toc297120468"/>
      <w:bookmarkStart w:id="428" w:name="_Toc300934980"/>
      <w:bookmarkStart w:id="429" w:name="_Toc296347167"/>
      <w:r>
        <w:rPr>
          <w:rFonts w:ascii="宋体" w:hAnsi="宋体"/>
          <w:szCs w:val="21"/>
        </w:rPr>
        <w:t>.4.1发包人供应的材料设备的保管费用的承担：</w:t>
      </w:r>
    </w:p>
    <w:p>
      <w:pPr>
        <w:spacing w:line="360" w:lineRule="auto"/>
        <w:jc w:val="left"/>
        <w:rPr>
          <w:rFonts w:ascii="宋体" w:hAnsi="宋体"/>
          <w:szCs w:val="21"/>
        </w:rPr>
      </w:pPr>
      <w:r>
        <w:rPr>
          <w:rFonts w:ascii="宋体" w:hAnsi="宋体"/>
          <w:szCs w:val="21"/>
        </w:rPr>
        <w:t>。</w:t>
      </w:r>
      <w:bookmarkEnd w:id="412"/>
      <w:bookmarkEnd w:id="413"/>
    </w:p>
    <w:p>
      <w:pPr>
        <w:spacing w:after="120" w:line="360" w:lineRule="auto"/>
        <w:ind w:firstLine="420" w:firstLineChars="200"/>
        <w:outlineLvl w:val="0"/>
        <w:rPr>
          <w:rFonts w:ascii="宋体" w:hAnsi="宋体"/>
          <w:szCs w:val="21"/>
        </w:rPr>
      </w:pPr>
      <w:r>
        <w:rPr>
          <w:rFonts w:ascii="宋体" w:hAnsi="宋体"/>
          <w:szCs w:val="21"/>
        </w:rPr>
        <w:t>8.6样品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p>
    <w:p>
      <w:pPr>
        <w:autoSpaceDE w:val="0"/>
        <w:autoSpaceDN w:val="0"/>
        <w:adjustRightInd w:val="0"/>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8.8施工设备和临时设施</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8.8.1承包人提供的施工设备和临时设施</w:t>
      </w:r>
    </w:p>
    <w:p>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关于修建临时设施费用承担的约定：</w:t>
      </w:r>
    </w:p>
    <w:p>
      <w:pPr>
        <w:autoSpaceDE w:val="0"/>
        <w:autoSpaceDN w:val="0"/>
        <w:adjustRightInd w:val="0"/>
        <w:spacing w:line="360" w:lineRule="auto"/>
        <w:jc w:val="left"/>
        <w:rPr>
          <w:rFonts w:ascii="宋体" w:hAnsi="宋体"/>
          <w:szCs w:val="21"/>
        </w:rPr>
      </w:pPr>
      <w:r>
        <w:rPr>
          <w:rFonts w:ascii="宋体" w:hAnsi="宋体"/>
          <w:szCs w:val="21"/>
        </w:rPr>
        <w:t>。</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5"/>
        <w:spacing w:before="120" w:after="120" w:line="360" w:lineRule="auto"/>
        <w:rPr>
          <w:rFonts w:ascii="宋体" w:hAnsi="宋体" w:eastAsia="宋体"/>
          <w:b w:val="0"/>
          <w:sz w:val="21"/>
          <w:szCs w:val="21"/>
        </w:rPr>
      </w:pPr>
      <w:bookmarkStart w:id="430" w:name="_Toc351203641"/>
      <w:r>
        <w:rPr>
          <w:rFonts w:ascii="宋体" w:hAnsi="宋体" w:eastAsia="宋体"/>
          <w:b w:val="0"/>
          <w:sz w:val="21"/>
          <w:szCs w:val="21"/>
        </w:rPr>
        <w:t>9</w:t>
      </w:r>
      <w:bookmarkEnd w:id="409"/>
      <w:bookmarkEnd w:id="410"/>
      <w:bookmarkEnd w:id="411"/>
      <w:bookmarkStart w:id="431" w:name="_Toc303539139"/>
      <w:bookmarkStart w:id="432" w:name="_Toc304295559"/>
      <w:bookmarkStart w:id="433" w:name="_Toc300934982"/>
      <w:bookmarkStart w:id="434" w:name="_Toc312678021"/>
      <w:bookmarkStart w:id="435" w:name="_Toc312677495"/>
      <w:bookmarkStart w:id="436" w:name="_Toc297123533"/>
      <w:bookmarkStart w:id="437" w:name="_Toc297216192"/>
      <w:bookmarkStart w:id="438" w:name="_Toc267251428"/>
      <w:bookmarkStart w:id="439" w:name="_Toc296891213"/>
      <w:bookmarkStart w:id="440" w:name="_Toc297048359"/>
      <w:bookmarkStart w:id="441" w:name="_Toc296347172"/>
      <w:bookmarkStart w:id="442" w:name="_Toc267251427"/>
      <w:bookmarkStart w:id="443" w:name="_Toc296503173"/>
      <w:bookmarkStart w:id="444" w:name="_Toc296891001"/>
      <w:bookmarkStart w:id="445" w:name="_Toc292559378"/>
      <w:bookmarkStart w:id="446" w:name="_Toc292559883"/>
      <w:bookmarkStart w:id="447" w:name="_Toc297120473"/>
      <w:bookmarkStart w:id="448" w:name="_Toc296944512"/>
      <w:bookmarkStart w:id="449" w:name="_Toc296346674"/>
      <w:r>
        <w:rPr>
          <w:rFonts w:ascii="宋体" w:hAnsi="宋体" w:eastAsia="宋体"/>
          <w:b w:val="0"/>
          <w:sz w:val="21"/>
          <w:szCs w:val="21"/>
        </w:rPr>
        <w:t>.试验与检验</w:t>
      </w:r>
      <w:bookmarkEnd w:id="430"/>
    </w:p>
    <w:bookmarkEnd w:id="431"/>
    <w:bookmarkEnd w:id="432"/>
    <w:bookmarkEnd w:id="433"/>
    <w:bookmarkEnd w:id="434"/>
    <w:bookmarkEnd w:id="435"/>
    <w:bookmarkEnd w:id="436"/>
    <w:bookmarkEnd w:id="437"/>
    <w:p>
      <w:pPr>
        <w:spacing w:after="120" w:line="360" w:lineRule="auto"/>
        <w:ind w:firstLine="420" w:firstLineChars="200"/>
        <w:rPr>
          <w:rFonts w:ascii="宋体" w:hAnsi="宋体"/>
          <w:szCs w:val="21"/>
        </w:rPr>
      </w:pPr>
      <w:r>
        <w:rPr>
          <w:rFonts w:ascii="宋体" w:hAnsi="宋体"/>
          <w:szCs w:val="21"/>
        </w:rPr>
        <w:t>9</w:t>
      </w:r>
      <w:bookmarkStart w:id="450" w:name="_Toc312677496"/>
      <w:bookmarkStart w:id="451" w:name="_Toc297123534"/>
      <w:bookmarkStart w:id="452" w:name="_Toc303539140"/>
      <w:bookmarkStart w:id="453" w:name="_Toc300934983"/>
      <w:bookmarkStart w:id="454" w:name="_Toc297216193"/>
      <w:bookmarkStart w:id="455" w:name="_Toc304295560"/>
      <w:bookmarkStart w:id="456" w:name="_Toc312678022"/>
      <w:r>
        <w:rPr>
          <w:rFonts w:ascii="宋体" w:hAnsi="宋体"/>
          <w:szCs w:val="21"/>
        </w:rPr>
        <w:t>.1试验设备与试验人员</w:t>
      </w:r>
    </w:p>
    <w:bookmarkEnd w:id="450"/>
    <w:bookmarkEnd w:id="451"/>
    <w:bookmarkEnd w:id="452"/>
    <w:bookmarkEnd w:id="453"/>
    <w:bookmarkEnd w:id="454"/>
    <w:bookmarkEnd w:id="455"/>
    <w:bookmarkEnd w:id="456"/>
    <w:p>
      <w:pPr>
        <w:spacing w:line="360" w:lineRule="auto"/>
        <w:ind w:firstLine="420" w:firstLineChars="200"/>
        <w:jc w:val="left"/>
        <w:rPr>
          <w:rFonts w:ascii="宋体" w:hAnsi="宋体"/>
          <w:szCs w:val="21"/>
        </w:rPr>
      </w:pPr>
      <w:r>
        <w:rPr>
          <w:rFonts w:ascii="宋体" w:hAnsi="宋体"/>
          <w:szCs w:val="21"/>
        </w:rPr>
        <w:t>9</w:t>
      </w:r>
      <w:bookmarkStart w:id="457" w:name="_Toc312678023"/>
      <w:bookmarkStart w:id="458" w:name="_Toc303539141"/>
      <w:bookmarkStart w:id="459" w:name="_Toc297123535"/>
      <w:bookmarkStart w:id="460" w:name="_Toc300934984"/>
      <w:bookmarkStart w:id="461" w:name="_Toc304295561"/>
      <w:bookmarkStart w:id="462" w:name="_Toc312677497"/>
      <w:bookmarkStart w:id="463" w:name="_Toc297216194"/>
      <w:bookmarkStart w:id="464" w:name="_Toc318581174"/>
      <w:r>
        <w:rPr>
          <w:rFonts w:ascii="宋体" w:hAnsi="宋体"/>
          <w:szCs w:val="21"/>
        </w:rPr>
        <w:t>.1.2 试验设备</w:t>
      </w:r>
    </w:p>
    <w:p>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457"/>
      <w:bookmarkEnd w:id="458"/>
      <w:bookmarkEnd w:id="459"/>
      <w:bookmarkEnd w:id="460"/>
      <w:bookmarkEnd w:id="461"/>
      <w:bookmarkEnd w:id="462"/>
      <w:bookmarkEnd w:id="463"/>
      <w:bookmarkStart w:id="465" w:name="_Toc297216195"/>
      <w:bookmarkStart w:id="466" w:name="_Toc300934985"/>
      <w:bookmarkStart w:id="467" w:name="_Toc303539142"/>
      <w:bookmarkStart w:id="468" w:name="_Toc304295562"/>
      <w:bookmarkStart w:id="469" w:name="_Toc312678024"/>
      <w:bookmarkStart w:id="470" w:name="_Toc297123536"/>
      <w:bookmarkStart w:id="471" w:name="_Toc312677498"/>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施工现场需要配备的试验设备：</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施工现场需要具备的其他试验条件：</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9.4现场工艺试验</w:t>
      </w:r>
    </w:p>
    <w:p>
      <w:pPr>
        <w:spacing w:line="360" w:lineRule="auto"/>
        <w:ind w:firstLine="420" w:firstLineChars="200"/>
        <w:jc w:val="left"/>
        <w:rPr>
          <w:rFonts w:ascii="宋体" w:hAnsi="宋体"/>
          <w:szCs w:val="21"/>
          <w:u w:val="single"/>
        </w:rPr>
      </w:pPr>
      <w:r>
        <w:rPr>
          <w:rFonts w:ascii="宋体" w:hAnsi="宋体"/>
          <w:szCs w:val="21"/>
        </w:rPr>
        <w:t>现场工艺试验的有关约定：</w:t>
      </w:r>
    </w:p>
    <w:p>
      <w:pPr>
        <w:spacing w:line="360" w:lineRule="auto"/>
        <w:jc w:val="left"/>
        <w:rPr>
          <w:rFonts w:ascii="宋体" w:hAnsi="宋体"/>
          <w:szCs w:val="21"/>
        </w:rPr>
      </w:pPr>
      <w:r>
        <w:rPr>
          <w:rFonts w:ascii="宋体" w:hAnsi="宋体"/>
          <w:szCs w:val="21"/>
        </w:rPr>
        <w:t>。</w:t>
      </w:r>
    </w:p>
    <w:bookmarkEnd w:id="464"/>
    <w:bookmarkEnd w:id="465"/>
    <w:bookmarkEnd w:id="466"/>
    <w:bookmarkEnd w:id="467"/>
    <w:bookmarkEnd w:id="468"/>
    <w:bookmarkEnd w:id="469"/>
    <w:bookmarkEnd w:id="470"/>
    <w:bookmarkEnd w:id="471"/>
    <w:p>
      <w:pPr>
        <w:pStyle w:val="5"/>
        <w:spacing w:before="120" w:after="120" w:line="360" w:lineRule="auto"/>
        <w:rPr>
          <w:rFonts w:ascii="宋体" w:hAnsi="宋体" w:eastAsia="宋体"/>
          <w:b w:val="0"/>
          <w:sz w:val="21"/>
          <w:szCs w:val="21"/>
        </w:rPr>
      </w:pPr>
      <w:bookmarkStart w:id="472" w:name="_Toc351203642"/>
      <w:r>
        <w:rPr>
          <w:rFonts w:ascii="宋体" w:hAnsi="宋体" w:eastAsia="宋体"/>
          <w:b w:val="0"/>
          <w:sz w:val="21"/>
          <w:szCs w:val="21"/>
        </w:rPr>
        <w:t>1</w:t>
      </w:r>
      <w:bookmarkEnd w:id="438"/>
      <w:bookmarkEnd w:id="439"/>
      <w:bookmarkEnd w:id="440"/>
      <w:bookmarkEnd w:id="441"/>
      <w:bookmarkEnd w:id="442"/>
      <w:bookmarkEnd w:id="443"/>
      <w:bookmarkEnd w:id="444"/>
      <w:bookmarkEnd w:id="445"/>
      <w:bookmarkEnd w:id="446"/>
      <w:bookmarkEnd w:id="447"/>
      <w:bookmarkEnd w:id="448"/>
      <w:bookmarkEnd w:id="449"/>
      <w:bookmarkStart w:id="473" w:name="_Toc296891233"/>
      <w:bookmarkStart w:id="474" w:name="_Toc297123540"/>
      <w:bookmarkStart w:id="475" w:name="_Toc296346694"/>
      <w:bookmarkStart w:id="476" w:name="_Toc304295566"/>
      <w:bookmarkStart w:id="477" w:name="_Toc296347192"/>
      <w:bookmarkStart w:id="478" w:name="_Toc303539146"/>
      <w:bookmarkStart w:id="479" w:name="_Toc297048379"/>
      <w:bookmarkStart w:id="480" w:name="_Toc297120493"/>
      <w:bookmarkStart w:id="481" w:name="_Toc292559398"/>
      <w:bookmarkStart w:id="482" w:name="_Toc296891021"/>
      <w:bookmarkStart w:id="483" w:name="_Toc296503193"/>
      <w:bookmarkStart w:id="484" w:name="_Toc292559903"/>
      <w:bookmarkStart w:id="485" w:name="_Toc300934989"/>
      <w:bookmarkStart w:id="486" w:name="_Toc296944532"/>
      <w:bookmarkStart w:id="487" w:name="_Toc297216199"/>
      <w:bookmarkStart w:id="488" w:name="_Toc312677499"/>
      <w:bookmarkStart w:id="489" w:name="_Toc312678025"/>
      <w:bookmarkStart w:id="490" w:name="_Toc267251435"/>
      <w:bookmarkStart w:id="491" w:name="_Toc267251433"/>
      <w:bookmarkStart w:id="492" w:name="_Toc267251440"/>
      <w:bookmarkStart w:id="493" w:name="_Toc267251439"/>
      <w:bookmarkStart w:id="494" w:name="_Toc267251437"/>
      <w:bookmarkStart w:id="495" w:name="_Toc267251441"/>
      <w:bookmarkStart w:id="496" w:name="_Toc267251442"/>
      <w:r>
        <w:rPr>
          <w:rFonts w:ascii="宋体" w:hAnsi="宋体" w:eastAsia="宋体"/>
          <w:b w:val="0"/>
          <w:sz w:val="21"/>
          <w:szCs w:val="21"/>
        </w:rPr>
        <w:t>0.变更</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bookmarkEnd w:id="488"/>
    <w:bookmarkEnd w:id="489"/>
    <w:p>
      <w:pPr>
        <w:spacing w:after="120" w:line="360" w:lineRule="auto"/>
        <w:ind w:firstLine="420" w:firstLineChars="200"/>
        <w:rPr>
          <w:rFonts w:ascii="宋体" w:hAnsi="宋体"/>
          <w:szCs w:val="21"/>
        </w:rPr>
      </w:pPr>
      <w:r>
        <w:rPr>
          <w:rFonts w:ascii="宋体" w:hAnsi="宋体"/>
          <w:szCs w:val="21"/>
        </w:rPr>
        <w:t>1</w:t>
      </w:r>
      <w:bookmarkStart w:id="497" w:name="_Toc297123541"/>
      <w:bookmarkStart w:id="498" w:name="_Toc297216200"/>
      <w:bookmarkStart w:id="499" w:name="_Toc296347193"/>
      <w:bookmarkStart w:id="500" w:name="_Toc303539147"/>
      <w:bookmarkStart w:id="501" w:name="_Toc296891234"/>
      <w:bookmarkStart w:id="502" w:name="_Toc297048380"/>
      <w:bookmarkStart w:id="503" w:name="_Toc296891022"/>
      <w:bookmarkStart w:id="504" w:name="_Toc296346695"/>
      <w:bookmarkStart w:id="505" w:name="_Toc312677500"/>
      <w:bookmarkStart w:id="506" w:name="_Toc297120494"/>
      <w:bookmarkStart w:id="507" w:name="_Toc292559399"/>
      <w:bookmarkStart w:id="508" w:name="_Toc296944533"/>
      <w:bookmarkStart w:id="509" w:name="_Toc292559904"/>
      <w:bookmarkStart w:id="510" w:name="_Toc312678026"/>
      <w:bookmarkStart w:id="511" w:name="_Toc300934990"/>
      <w:bookmarkStart w:id="512" w:name="_Toc304295567"/>
      <w:bookmarkStart w:id="513" w:name="_Toc296503194"/>
      <w:r>
        <w:rPr>
          <w:rFonts w:ascii="宋体" w:hAnsi="宋体"/>
          <w:szCs w:val="21"/>
        </w:rPr>
        <w:t>0.1变更的范围</w:t>
      </w:r>
    </w:p>
    <w:p>
      <w:pPr>
        <w:spacing w:line="360" w:lineRule="auto"/>
        <w:ind w:firstLine="600"/>
        <w:jc w:val="left"/>
        <w:rPr>
          <w:rFonts w:ascii="宋体" w:hAnsi="宋体"/>
          <w:szCs w:val="21"/>
          <w:u w:val="single"/>
        </w:rPr>
      </w:pPr>
      <w:r>
        <w:rPr>
          <w:rFonts w:ascii="宋体" w:hAnsi="宋体"/>
          <w:szCs w:val="21"/>
        </w:rPr>
        <w:t>关于变更的范围的约定：</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10.4变更估价</w:t>
      </w:r>
    </w:p>
    <w:p>
      <w:pPr>
        <w:spacing w:line="360" w:lineRule="auto"/>
        <w:ind w:firstLine="420" w:firstLineChars="200"/>
        <w:jc w:val="left"/>
        <w:rPr>
          <w:rFonts w:ascii="宋体" w:hAnsi="宋体"/>
          <w:szCs w:val="21"/>
        </w:rPr>
      </w:pPr>
      <w:r>
        <w:rPr>
          <w:rFonts w:hint="eastAsia" w:ascii="宋体" w:hAnsi="宋体"/>
          <w:szCs w:val="21"/>
        </w:rPr>
        <w:t>10.4.1变更估价原则</w:t>
      </w:r>
    </w:p>
    <w:p>
      <w:pPr>
        <w:spacing w:line="360" w:lineRule="auto"/>
        <w:ind w:firstLine="420" w:firstLineChars="200"/>
        <w:jc w:val="left"/>
        <w:rPr>
          <w:rFonts w:ascii="宋体" w:hAnsi="宋体"/>
          <w:szCs w:val="21"/>
          <w:u w:val="single"/>
        </w:rPr>
      </w:pPr>
      <w:r>
        <w:rPr>
          <w:rFonts w:ascii="宋体" w:hAnsi="宋体"/>
          <w:szCs w:val="21"/>
        </w:rPr>
        <w:t xml:space="preserve">关于变更估价的约定: </w:t>
      </w:r>
    </w:p>
    <w:p>
      <w:pPr>
        <w:spacing w:line="360" w:lineRule="auto"/>
        <w:jc w:val="left"/>
        <w:rPr>
          <w:rFonts w:ascii="宋体" w:hAnsi="宋体"/>
          <w:szCs w:val="21"/>
          <w:u w:val="single"/>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Start w:id="514" w:name="_Toc296944536"/>
      <w:bookmarkStart w:id="515" w:name="_Toc297048383"/>
      <w:bookmarkStart w:id="516" w:name="_Toc303539150"/>
      <w:bookmarkStart w:id="517" w:name="_Toc296503197"/>
      <w:bookmarkStart w:id="518" w:name="_Toc297120497"/>
      <w:bookmarkStart w:id="519" w:name="_Toc296891237"/>
      <w:bookmarkStart w:id="520" w:name="_Toc296891025"/>
      <w:bookmarkStart w:id="521" w:name="_Toc300934993"/>
      <w:bookmarkStart w:id="522" w:name="_Toc297123544"/>
      <w:bookmarkStart w:id="523" w:name="_Toc292559402"/>
      <w:bookmarkStart w:id="524" w:name="_Toc292559907"/>
      <w:bookmarkStart w:id="525" w:name="_Toc296346698"/>
      <w:bookmarkStart w:id="526" w:name="_Toc296347196"/>
      <w:bookmarkStart w:id="527" w:name="_Toc297216203"/>
      <w:bookmarkStart w:id="528" w:name="_Toc312677503"/>
      <w:bookmarkStart w:id="529" w:name="_Toc312678029"/>
      <w:bookmarkStart w:id="530" w:name="_Toc304295570"/>
      <w:r>
        <w:rPr>
          <w:rFonts w:ascii="宋体" w:hAnsi="宋体"/>
          <w:szCs w:val="21"/>
        </w:rPr>
        <w:t>0.5承</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Start w:id="531" w:name="_Toc297120503"/>
      <w:bookmarkStart w:id="532" w:name="_Toc297048389"/>
      <w:bookmarkStart w:id="533" w:name="_Toc297123545"/>
      <w:bookmarkStart w:id="534" w:name="_Toc292559408"/>
      <w:bookmarkStart w:id="535" w:name="_Toc296347202"/>
      <w:bookmarkStart w:id="536" w:name="_Toc296891243"/>
      <w:bookmarkStart w:id="537" w:name="_Toc296891031"/>
      <w:bookmarkStart w:id="538" w:name="_Toc303539151"/>
      <w:bookmarkStart w:id="539" w:name="_Toc297216204"/>
      <w:bookmarkStart w:id="540" w:name="_Toc300934994"/>
      <w:bookmarkStart w:id="541" w:name="_Toc296503203"/>
      <w:bookmarkStart w:id="542" w:name="_Toc296944542"/>
      <w:bookmarkStart w:id="543" w:name="_Toc292559913"/>
      <w:bookmarkStart w:id="544" w:name="_Toc296346704"/>
      <w:r>
        <w:rPr>
          <w:rFonts w:ascii="宋体" w:hAnsi="宋体"/>
          <w:szCs w:val="21"/>
        </w:rPr>
        <w:t>包人的合理化建议</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spacing w:line="360" w:lineRule="auto"/>
        <w:ind w:firstLine="420" w:firstLineChars="200"/>
        <w:jc w:val="left"/>
        <w:rPr>
          <w:rFonts w:ascii="宋体" w:hAnsi="宋体"/>
          <w:szCs w:val="21"/>
        </w:rPr>
      </w:pPr>
      <w:r>
        <w:rPr>
          <w:rFonts w:ascii="宋体" w:hAnsi="宋体"/>
          <w:szCs w:val="21"/>
        </w:rPr>
        <w:t>监理人审查承包人合理化建议的期限：。</w:t>
      </w:r>
    </w:p>
    <w:p>
      <w:pPr>
        <w:spacing w:line="360" w:lineRule="auto"/>
        <w:ind w:firstLine="420" w:firstLineChars="200"/>
        <w:jc w:val="left"/>
        <w:rPr>
          <w:rFonts w:ascii="宋体" w:hAnsi="宋体"/>
          <w:szCs w:val="21"/>
        </w:rPr>
      </w:pPr>
      <w:r>
        <w:rPr>
          <w:rFonts w:ascii="宋体" w:hAnsi="宋体"/>
          <w:szCs w:val="21"/>
        </w:rPr>
        <w:t>发包人审批承包人合理化建议的期限：。</w:t>
      </w:r>
    </w:p>
    <w:p>
      <w:pPr>
        <w:spacing w:line="360" w:lineRule="auto"/>
        <w:ind w:firstLine="420" w:firstLineChars="200"/>
        <w:jc w:val="left"/>
        <w:rPr>
          <w:rFonts w:ascii="宋体" w:hAnsi="宋体"/>
          <w:szCs w:val="21"/>
          <w:u w:val="single"/>
        </w:rPr>
      </w:pPr>
      <w:r>
        <w:rPr>
          <w:rFonts w:ascii="宋体" w:hAnsi="宋体"/>
          <w:szCs w:val="21"/>
        </w:rPr>
        <w:t>承</w:t>
      </w:r>
      <w:bookmarkStart w:id="545" w:name="_Toc296503204"/>
      <w:bookmarkStart w:id="546" w:name="_Toc296891032"/>
      <w:bookmarkStart w:id="547" w:name="_Toc318581175"/>
      <w:bookmarkStart w:id="548" w:name="_Toc292559914"/>
      <w:bookmarkStart w:id="549" w:name="_Toc297216205"/>
      <w:bookmarkStart w:id="550" w:name="_Toc303539152"/>
      <w:bookmarkStart w:id="551" w:name="_Toc297123546"/>
      <w:bookmarkStart w:id="552" w:name="_Toc296347203"/>
      <w:bookmarkStart w:id="553" w:name="_Toc300934995"/>
      <w:bookmarkStart w:id="554" w:name="_Toc296944543"/>
      <w:bookmarkStart w:id="555" w:name="_Toc296346705"/>
      <w:bookmarkStart w:id="556" w:name="_Toc312678030"/>
      <w:bookmarkStart w:id="557" w:name="_Toc296891244"/>
      <w:bookmarkStart w:id="558" w:name="_Toc297048390"/>
      <w:bookmarkStart w:id="559" w:name="_Toc312677504"/>
      <w:bookmarkStart w:id="560" w:name="_Toc297120504"/>
      <w:bookmarkStart w:id="561" w:name="_Toc304295571"/>
      <w:bookmarkStart w:id="562" w:name="_Toc292559409"/>
      <w:r>
        <w:rPr>
          <w:rFonts w:ascii="宋体" w:hAnsi="宋体"/>
          <w:szCs w:val="21"/>
        </w:rPr>
        <w:t>包人提出的合理化建议降低了合同价格或者提高了工程经济效益的奖励的方法和金额为：</w:t>
      </w:r>
    </w:p>
    <w:p>
      <w:pPr>
        <w:spacing w:line="360" w:lineRule="auto"/>
        <w:jc w:val="left"/>
        <w:rPr>
          <w:rFonts w:ascii="宋体" w:hAnsi="宋体"/>
          <w:szCs w:val="21"/>
          <w:u w:val="single"/>
        </w:rPr>
      </w:pPr>
      <w:r>
        <w:rPr>
          <w:rFonts w:ascii="宋体" w:hAnsi="宋体"/>
          <w:szCs w:val="21"/>
        </w:rPr>
        <w:t>。</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after="120" w:line="360" w:lineRule="auto"/>
        <w:ind w:firstLine="420" w:firstLineChars="200"/>
        <w:outlineLvl w:val="0"/>
        <w:rPr>
          <w:rFonts w:ascii="宋体" w:hAnsi="宋体"/>
          <w:szCs w:val="21"/>
        </w:rPr>
      </w:pPr>
      <w:r>
        <w:rPr>
          <w:rFonts w:ascii="宋体" w:hAnsi="宋体"/>
          <w:szCs w:val="21"/>
        </w:rPr>
        <w:t>1</w:t>
      </w:r>
      <w:bookmarkStart w:id="563" w:name="_Toc296891027"/>
      <w:bookmarkStart w:id="564" w:name="_Toc297048385"/>
      <w:bookmarkStart w:id="565" w:name="_Toc297120499"/>
      <w:bookmarkStart w:id="566" w:name="_Toc297123548"/>
      <w:bookmarkStart w:id="567" w:name="_Toc312678033"/>
      <w:bookmarkStart w:id="568" w:name="_Toc292559404"/>
      <w:bookmarkStart w:id="569" w:name="_Toc296347198"/>
      <w:bookmarkStart w:id="570" w:name="_Toc296503199"/>
      <w:bookmarkStart w:id="571" w:name="_Toc312677507"/>
      <w:bookmarkStart w:id="572" w:name="_Toc297216207"/>
      <w:bookmarkStart w:id="573" w:name="_Toc292559909"/>
      <w:bookmarkStart w:id="574" w:name="_Toc304295574"/>
      <w:bookmarkStart w:id="575" w:name="_Toc296944538"/>
      <w:bookmarkStart w:id="576" w:name="_Toc296891239"/>
      <w:bookmarkStart w:id="577" w:name="_Toc296346700"/>
      <w:bookmarkStart w:id="578" w:name="_Toc300934997"/>
      <w:bookmarkStart w:id="579" w:name="_Toc303539154"/>
      <w:r>
        <w:rPr>
          <w:rFonts w:ascii="宋体" w:hAnsi="宋体"/>
          <w:szCs w:val="21"/>
        </w:rPr>
        <w:t>0.7暂估价</w:t>
      </w:r>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line="360" w:lineRule="auto"/>
        <w:ind w:firstLine="420" w:firstLineChars="200"/>
        <w:jc w:val="left"/>
        <w:rPr>
          <w:rFonts w:ascii="宋体" w:hAnsi="宋体"/>
          <w:szCs w:val="21"/>
        </w:rPr>
      </w:pPr>
      <w:r>
        <w:rPr>
          <w:rFonts w:ascii="宋体" w:hAnsi="宋体"/>
          <w:kern w:val="0"/>
          <w:szCs w:val="21"/>
        </w:rPr>
        <w:t>暂</w:t>
      </w:r>
      <w:bookmarkStart w:id="580" w:name="_Toc312677508"/>
      <w:bookmarkStart w:id="581" w:name="_Toc312678034"/>
      <w:bookmarkStart w:id="582"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580"/>
    <w:bookmarkEnd w:id="581"/>
    <w:bookmarkEnd w:id="582"/>
    <w:p>
      <w:pPr>
        <w:spacing w:line="360" w:lineRule="auto"/>
        <w:ind w:firstLine="420" w:firstLineChars="200"/>
        <w:jc w:val="left"/>
        <w:rPr>
          <w:rFonts w:ascii="宋体" w:hAnsi="宋体"/>
          <w:szCs w:val="21"/>
        </w:rPr>
      </w:pPr>
      <w:r>
        <w:rPr>
          <w:rFonts w:ascii="宋体" w:hAnsi="宋体"/>
          <w:szCs w:val="21"/>
        </w:rPr>
        <w:t>1</w:t>
      </w:r>
      <w:bookmarkStart w:id="583" w:name="_Toc312678035"/>
      <w:bookmarkStart w:id="584" w:name="_Toc318581177"/>
      <w:bookmarkStart w:id="585" w:name="_Toc312677509"/>
      <w:r>
        <w:rPr>
          <w:rFonts w:ascii="宋体" w:hAnsi="宋体"/>
          <w:szCs w:val="21"/>
        </w:rPr>
        <w:t>0.7.1依法必须招标的暂估价项目</w:t>
      </w:r>
    </w:p>
    <w:bookmarkEnd w:id="583"/>
    <w:bookmarkEnd w:id="584"/>
    <w:bookmarkEnd w:id="585"/>
    <w:p>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pPr>
        <w:spacing w:line="360" w:lineRule="auto"/>
        <w:ind w:firstLine="420" w:firstLineChars="200"/>
        <w:jc w:val="left"/>
        <w:rPr>
          <w:rFonts w:ascii="宋体" w:hAnsi="宋体"/>
          <w:szCs w:val="21"/>
        </w:rPr>
      </w:pPr>
      <w:r>
        <w:rPr>
          <w:rFonts w:ascii="宋体" w:hAnsi="宋体"/>
          <w:szCs w:val="21"/>
        </w:rPr>
        <w:t>10.7.2不属于依法必须招标的暂估价项目</w:t>
      </w:r>
    </w:p>
    <w:p>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60" w:lineRule="auto"/>
        <w:ind w:firstLine="420" w:firstLineChars="200"/>
        <w:jc w:val="left"/>
        <w:rPr>
          <w:rFonts w:ascii="宋体" w:hAnsi="宋体"/>
          <w:szCs w:val="21"/>
        </w:rPr>
      </w:pPr>
      <w:r>
        <w:rPr>
          <w:rFonts w:ascii="宋体" w:hAnsi="宋体"/>
          <w:szCs w:val="21"/>
        </w:rPr>
        <w:t>承包人直接实施的暂估价项目的约定：</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10.8暂列金额</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kern w:val="0"/>
          <w:szCs w:val="21"/>
        </w:rPr>
        <w:t>合同当事人关于暂列金额使用的约定：</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w:t>
      </w:r>
    </w:p>
    <w:p>
      <w:pPr>
        <w:pStyle w:val="5"/>
        <w:spacing w:before="120" w:after="120" w:line="360" w:lineRule="auto"/>
        <w:rPr>
          <w:rFonts w:ascii="宋体" w:hAnsi="宋体" w:eastAsia="宋体"/>
          <w:b w:val="0"/>
          <w:sz w:val="21"/>
          <w:szCs w:val="21"/>
        </w:rPr>
      </w:pPr>
      <w:bookmarkStart w:id="586" w:name="_Toc351203643"/>
      <w:r>
        <w:rPr>
          <w:rFonts w:ascii="宋体" w:hAnsi="宋体" w:eastAsia="宋体"/>
          <w:b w:val="0"/>
          <w:sz w:val="21"/>
          <w:szCs w:val="21"/>
        </w:rPr>
        <w:t>11.价格调整</w:t>
      </w:r>
      <w:bookmarkEnd w:id="586"/>
    </w:p>
    <w:p>
      <w:pPr>
        <w:spacing w:after="120" w:line="360" w:lineRule="auto"/>
        <w:ind w:firstLine="420" w:firstLineChars="200"/>
        <w:rPr>
          <w:rFonts w:ascii="宋体" w:hAnsi="宋体"/>
          <w:szCs w:val="21"/>
        </w:rPr>
      </w:pPr>
      <w:bookmarkStart w:id="587" w:name="_Toc296891029"/>
      <w:bookmarkStart w:id="588" w:name="_Toc296503201"/>
      <w:bookmarkStart w:id="589" w:name="_Toc300935000"/>
      <w:bookmarkStart w:id="590" w:name="_Toc296347200"/>
      <w:bookmarkStart w:id="591" w:name="_Toc297120501"/>
      <w:bookmarkStart w:id="592" w:name="_Toc292559911"/>
      <w:bookmarkStart w:id="593" w:name="_Toc304295577"/>
      <w:bookmarkStart w:id="594" w:name="_Toc312678039"/>
      <w:bookmarkStart w:id="595" w:name="_Toc296346702"/>
      <w:bookmarkStart w:id="596" w:name="_Toc297216209"/>
      <w:bookmarkStart w:id="597" w:name="_Toc296944540"/>
      <w:bookmarkStart w:id="598" w:name="_Toc297123550"/>
      <w:bookmarkStart w:id="599" w:name="_Toc296891241"/>
      <w:bookmarkStart w:id="600" w:name="_Toc292559406"/>
      <w:bookmarkStart w:id="601" w:name="_Toc297048387"/>
      <w:bookmarkStart w:id="602" w:name="_Toc303539157"/>
      <w:r>
        <w:rPr>
          <w:rFonts w:ascii="宋体" w:hAnsi="宋体"/>
          <w:szCs w:val="21"/>
        </w:rPr>
        <w:t>11.1 市场价格波动引起的调整</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pPr>
        <w:spacing w:line="360" w:lineRule="auto"/>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60" w:lineRule="auto"/>
        <w:ind w:firstLine="420" w:firstLineChars="200"/>
        <w:jc w:val="left"/>
        <w:rPr>
          <w:rFonts w:ascii="宋体" w:hAnsi="宋体"/>
          <w:szCs w:val="21"/>
          <w:u w:val="single"/>
        </w:rPr>
      </w:pPr>
      <w:r>
        <w:rPr>
          <w:rFonts w:ascii="宋体" w:hAnsi="宋体"/>
          <w:szCs w:val="21"/>
        </w:rPr>
        <w:t xml:space="preserve">关于各可调因子、定值和变值权重，以及基本价格指数及其来源的约定：；  </w:t>
      </w:r>
    </w:p>
    <w:p>
      <w:pPr>
        <w:spacing w:line="360" w:lineRule="auto"/>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60" w:lineRule="auto"/>
        <w:ind w:firstLine="420" w:firstLineChars="200"/>
        <w:jc w:val="left"/>
        <w:rPr>
          <w:rFonts w:ascii="宋体" w:hAnsi="宋体"/>
          <w:szCs w:val="21"/>
        </w:rPr>
      </w:pPr>
      <w:r>
        <w:rPr>
          <w:rFonts w:ascii="宋体" w:hAnsi="宋体"/>
          <w:szCs w:val="21"/>
        </w:rPr>
        <w:t>（2）关于基准价格的约定：。</w:t>
      </w:r>
    </w:p>
    <w:p>
      <w:pPr>
        <w:spacing w:line="360" w:lineRule="auto"/>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szCs w:val="21"/>
          <w:u w:val="single"/>
        </w:rPr>
      </w:pPr>
      <w:r>
        <w:rPr>
          <w:rFonts w:ascii="宋体" w:hAnsi="宋体"/>
          <w:szCs w:val="21"/>
        </w:rPr>
        <w:t>第3种方式：其他价格调整方式：</w:t>
      </w:r>
    </w:p>
    <w:p>
      <w:pPr>
        <w:spacing w:line="360" w:lineRule="auto"/>
        <w:jc w:val="left"/>
        <w:rPr>
          <w:rFonts w:ascii="宋体" w:hAnsi="宋体"/>
          <w:szCs w:val="21"/>
        </w:rPr>
      </w:pPr>
      <w:r>
        <w:rPr>
          <w:rFonts w:ascii="宋体" w:hAnsi="宋体"/>
          <w:szCs w:val="21"/>
        </w:rPr>
        <w:t>。</w:t>
      </w:r>
    </w:p>
    <w:bookmarkEnd w:id="490"/>
    <w:bookmarkEnd w:id="491"/>
    <w:bookmarkEnd w:id="492"/>
    <w:bookmarkEnd w:id="493"/>
    <w:bookmarkEnd w:id="494"/>
    <w:bookmarkEnd w:id="495"/>
    <w:p>
      <w:pPr>
        <w:pStyle w:val="5"/>
        <w:spacing w:before="120" w:after="120" w:line="360" w:lineRule="auto"/>
        <w:rPr>
          <w:rFonts w:ascii="宋体" w:hAnsi="宋体" w:eastAsia="宋体"/>
          <w:b w:val="0"/>
          <w:sz w:val="21"/>
          <w:szCs w:val="21"/>
        </w:rPr>
      </w:pPr>
      <w:bookmarkStart w:id="603" w:name="_Toc296891245"/>
      <w:bookmarkStart w:id="604" w:name="_Toc296503205"/>
      <w:bookmarkStart w:id="605" w:name="_Toc292559915"/>
      <w:bookmarkStart w:id="606" w:name="_Toc296347204"/>
      <w:bookmarkStart w:id="607" w:name="_Toc297120505"/>
      <w:bookmarkStart w:id="608" w:name="_Toc297048391"/>
      <w:bookmarkStart w:id="609" w:name="_Toc296944544"/>
      <w:bookmarkStart w:id="610" w:name="_Toc296346706"/>
      <w:bookmarkStart w:id="611" w:name="_Toc296891033"/>
      <w:bookmarkStart w:id="612" w:name="_Toc292559410"/>
      <w:bookmarkStart w:id="613" w:name="_Toc351203644"/>
      <w:bookmarkStart w:id="614" w:name="_Toc312678040"/>
      <w:bookmarkStart w:id="615" w:name="_Toc297216211"/>
      <w:bookmarkStart w:id="616" w:name="_Toc303539159"/>
      <w:bookmarkStart w:id="617" w:name="_Toc297123552"/>
      <w:bookmarkStart w:id="618" w:name="_Toc300935002"/>
      <w:bookmarkStart w:id="619" w:name="_Toc304295579"/>
      <w:r>
        <w:rPr>
          <w:rFonts w:ascii="宋体" w:hAnsi="宋体" w:eastAsia="宋体"/>
          <w:b w:val="0"/>
          <w:sz w:val="21"/>
          <w:szCs w:val="21"/>
        </w:rPr>
        <w:t>12.</w:t>
      </w:r>
      <w:bookmarkEnd w:id="603"/>
      <w:bookmarkEnd w:id="604"/>
      <w:bookmarkEnd w:id="605"/>
      <w:bookmarkEnd w:id="606"/>
      <w:bookmarkEnd w:id="607"/>
      <w:bookmarkEnd w:id="608"/>
      <w:bookmarkEnd w:id="609"/>
      <w:bookmarkEnd w:id="610"/>
      <w:bookmarkEnd w:id="611"/>
      <w:bookmarkEnd w:id="612"/>
      <w:r>
        <w:rPr>
          <w:rFonts w:ascii="宋体" w:hAnsi="宋体" w:eastAsia="宋体"/>
          <w:b w:val="0"/>
          <w:sz w:val="21"/>
          <w:szCs w:val="21"/>
        </w:rPr>
        <w:t>合同价格、计量与支付</w:t>
      </w:r>
      <w:bookmarkEnd w:id="613"/>
    </w:p>
    <w:bookmarkEnd w:id="614"/>
    <w:bookmarkEnd w:id="615"/>
    <w:bookmarkEnd w:id="616"/>
    <w:bookmarkEnd w:id="617"/>
    <w:bookmarkEnd w:id="618"/>
    <w:bookmarkEnd w:id="619"/>
    <w:p>
      <w:pPr>
        <w:spacing w:after="120" w:line="360" w:lineRule="auto"/>
        <w:ind w:firstLine="420" w:firstLineChars="200"/>
        <w:rPr>
          <w:rFonts w:ascii="宋体" w:hAnsi="宋体"/>
          <w:szCs w:val="21"/>
        </w:rPr>
      </w:pPr>
      <w:bookmarkStart w:id="620" w:name="_Toc292559411"/>
      <w:bookmarkStart w:id="621" w:name="_Toc292559916"/>
      <w:bookmarkStart w:id="622" w:name="_Toc267251461"/>
      <w:bookmarkStart w:id="623" w:name="_Toc296503206"/>
      <w:bookmarkStart w:id="624" w:name="_Toc296346707"/>
      <w:bookmarkStart w:id="625" w:name="_Toc296891246"/>
      <w:bookmarkStart w:id="626" w:name="_Toc296347205"/>
      <w:bookmarkStart w:id="627" w:name="_Toc297048392"/>
      <w:bookmarkStart w:id="628" w:name="_Toc296891034"/>
      <w:bookmarkStart w:id="629" w:name="_Toc297120506"/>
      <w:bookmarkStart w:id="630" w:name="_Toc296944545"/>
      <w:bookmarkStart w:id="631" w:name="_Toc297123553"/>
      <w:bookmarkStart w:id="632" w:name="_Toc312678041"/>
      <w:bookmarkStart w:id="633" w:name="_Toc304295580"/>
      <w:bookmarkStart w:id="634" w:name="_Toc303539160"/>
      <w:bookmarkStart w:id="635" w:name="_Toc300935003"/>
      <w:bookmarkStart w:id="636" w:name="_Toc297216212"/>
      <w:r>
        <w:rPr>
          <w:rFonts w:ascii="宋体" w:hAnsi="宋体"/>
          <w:szCs w:val="21"/>
        </w:rPr>
        <w:t>12.1合</w:t>
      </w:r>
      <w:bookmarkEnd w:id="620"/>
      <w:bookmarkEnd w:id="621"/>
      <w:bookmarkEnd w:id="622"/>
      <w:r>
        <w:rPr>
          <w:rFonts w:ascii="宋体" w:hAnsi="宋体"/>
          <w:szCs w:val="21"/>
        </w:rPr>
        <w:t>同价</w:t>
      </w:r>
      <w:bookmarkEnd w:id="623"/>
      <w:bookmarkEnd w:id="624"/>
      <w:bookmarkEnd w:id="625"/>
      <w:bookmarkEnd w:id="626"/>
      <w:bookmarkEnd w:id="627"/>
      <w:bookmarkEnd w:id="628"/>
      <w:bookmarkEnd w:id="629"/>
      <w:bookmarkEnd w:id="630"/>
      <w:r>
        <w:rPr>
          <w:rFonts w:ascii="宋体" w:hAnsi="宋体"/>
          <w:szCs w:val="21"/>
        </w:rPr>
        <w:t>格形式</w:t>
      </w:r>
    </w:p>
    <w:bookmarkEnd w:id="631"/>
    <w:bookmarkEnd w:id="632"/>
    <w:bookmarkEnd w:id="633"/>
    <w:bookmarkEnd w:id="634"/>
    <w:bookmarkEnd w:id="635"/>
    <w:bookmarkEnd w:id="636"/>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单价合同。</w:t>
      </w:r>
    </w:p>
    <w:p>
      <w:pPr>
        <w:spacing w:line="360" w:lineRule="auto"/>
        <w:ind w:firstLine="420" w:firstLineChars="200"/>
        <w:jc w:val="left"/>
        <w:rPr>
          <w:rFonts w:ascii="宋体" w:hAnsi="宋体"/>
          <w:szCs w:val="21"/>
          <w:u w:val="single"/>
        </w:rPr>
      </w:pPr>
      <w:r>
        <w:rPr>
          <w:rFonts w:ascii="宋体" w:hAnsi="宋体"/>
          <w:szCs w:val="21"/>
        </w:rPr>
        <w:t>综合单价包含的风险范围：</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风险费用的计算方法：</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风险范围以外合同价格的调整方法：</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总价合同。</w:t>
      </w:r>
    </w:p>
    <w:p>
      <w:pPr>
        <w:spacing w:line="360" w:lineRule="auto"/>
        <w:ind w:firstLine="420" w:firstLineChars="200"/>
        <w:jc w:val="left"/>
        <w:rPr>
          <w:rFonts w:ascii="宋体" w:hAnsi="宋体"/>
          <w:szCs w:val="21"/>
          <w:u w:val="single"/>
        </w:rPr>
      </w:pPr>
      <w:r>
        <w:rPr>
          <w:rFonts w:ascii="宋体" w:hAnsi="宋体"/>
          <w:szCs w:val="21"/>
        </w:rPr>
        <w:t>总价包含的风险范围：</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风险费用的计算方法：</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风险范围以外合同价格的调整方法：</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3</w:t>
      </w:r>
      <w:r>
        <w:rPr>
          <w:rFonts w:hint="eastAsia" w:ascii="宋体" w:hAnsi="宋体"/>
          <w:szCs w:val="21"/>
        </w:rPr>
        <w:t>.</w:t>
      </w:r>
      <w:r>
        <w:rPr>
          <w:rFonts w:ascii="宋体" w:hAnsi="宋体"/>
          <w:szCs w:val="21"/>
        </w:rPr>
        <w:t>其他价格</w:t>
      </w:r>
      <w:r>
        <w:rPr>
          <w:rFonts w:hint="eastAsia" w:ascii="宋体" w:hAnsi="宋体"/>
          <w:szCs w:val="21"/>
        </w:rPr>
        <w:t>形式</w:t>
      </w:r>
      <w:r>
        <w:rPr>
          <w:rFonts w:ascii="宋体" w:hAnsi="宋体"/>
          <w:szCs w:val="21"/>
        </w:rPr>
        <w:t>：</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bookmarkStart w:id="637" w:name="_Toc297123554"/>
      <w:bookmarkStart w:id="638" w:name="_Toc303539161"/>
      <w:bookmarkStart w:id="639" w:name="_Toc297216213"/>
      <w:bookmarkStart w:id="640" w:name="_Toc304295581"/>
      <w:bookmarkStart w:id="641" w:name="_Toc300935004"/>
      <w:bookmarkStart w:id="642" w:name="_Toc312678042"/>
      <w:bookmarkStart w:id="643" w:name="_Toc292559917"/>
      <w:bookmarkStart w:id="644" w:name="_Toc292559412"/>
      <w:bookmarkStart w:id="645" w:name="_Toc296346708"/>
      <w:bookmarkStart w:id="646" w:name="_Toc296347206"/>
      <w:bookmarkStart w:id="647" w:name="_Toc296944546"/>
      <w:bookmarkStart w:id="648" w:name="_Toc296891035"/>
      <w:bookmarkStart w:id="649" w:name="_Toc296503207"/>
      <w:bookmarkStart w:id="650" w:name="_Toc297048393"/>
      <w:bookmarkStart w:id="651" w:name="_Toc297120507"/>
      <w:bookmarkStart w:id="652" w:name="_Toc296891247"/>
      <w:r>
        <w:rPr>
          <w:rFonts w:ascii="宋体" w:hAnsi="宋体"/>
          <w:szCs w:val="21"/>
        </w:rPr>
        <w:t>12.2预付款</w:t>
      </w:r>
    </w:p>
    <w:bookmarkEnd w:id="637"/>
    <w:bookmarkEnd w:id="638"/>
    <w:bookmarkEnd w:id="639"/>
    <w:bookmarkEnd w:id="640"/>
    <w:bookmarkEnd w:id="641"/>
    <w:bookmarkEnd w:id="642"/>
    <w:p>
      <w:pPr>
        <w:spacing w:line="360" w:lineRule="auto"/>
        <w:ind w:firstLine="420" w:firstLineChars="200"/>
        <w:jc w:val="left"/>
        <w:rPr>
          <w:rFonts w:ascii="宋体" w:hAnsi="宋体"/>
          <w:szCs w:val="21"/>
        </w:rPr>
      </w:pPr>
      <w:r>
        <w:rPr>
          <w:rFonts w:ascii="宋体" w:hAnsi="宋体"/>
          <w:szCs w:val="21"/>
        </w:rPr>
        <w:t>12.2.1预付款的支付</w:t>
      </w:r>
    </w:p>
    <w:p>
      <w:pPr>
        <w:spacing w:line="360" w:lineRule="auto"/>
        <w:ind w:firstLine="420" w:firstLineChars="200"/>
        <w:jc w:val="left"/>
        <w:rPr>
          <w:rFonts w:ascii="宋体" w:hAnsi="宋体"/>
          <w:szCs w:val="21"/>
        </w:rPr>
      </w:pPr>
      <w:r>
        <w:rPr>
          <w:rFonts w:ascii="宋体" w:hAnsi="宋体"/>
          <w:szCs w:val="21"/>
        </w:rPr>
        <w:t>预付款支付比例或金额：。</w:t>
      </w:r>
    </w:p>
    <w:p>
      <w:pPr>
        <w:spacing w:line="360" w:lineRule="auto"/>
        <w:ind w:firstLine="420" w:firstLineChars="200"/>
        <w:jc w:val="left"/>
        <w:rPr>
          <w:rFonts w:ascii="宋体" w:hAnsi="宋体"/>
          <w:szCs w:val="21"/>
        </w:rPr>
      </w:pPr>
      <w:r>
        <w:rPr>
          <w:rFonts w:ascii="宋体" w:hAnsi="宋体"/>
          <w:szCs w:val="21"/>
        </w:rPr>
        <w:t>预付款支付期限：。</w:t>
      </w:r>
    </w:p>
    <w:p>
      <w:pPr>
        <w:spacing w:line="360" w:lineRule="auto"/>
        <w:ind w:firstLine="420" w:firstLineChars="200"/>
        <w:jc w:val="left"/>
        <w:rPr>
          <w:rFonts w:ascii="宋体" w:hAnsi="宋体"/>
          <w:szCs w:val="21"/>
        </w:rPr>
      </w:pPr>
      <w:r>
        <w:rPr>
          <w:rFonts w:ascii="宋体" w:hAnsi="宋体"/>
          <w:szCs w:val="21"/>
        </w:rPr>
        <w:t>预付款扣回的方式：。</w:t>
      </w:r>
    </w:p>
    <w:p>
      <w:pPr>
        <w:spacing w:line="360" w:lineRule="auto"/>
        <w:ind w:firstLine="420" w:firstLineChars="200"/>
        <w:jc w:val="left"/>
        <w:rPr>
          <w:rFonts w:ascii="宋体" w:hAnsi="宋体"/>
          <w:szCs w:val="21"/>
        </w:rPr>
      </w:pPr>
      <w:r>
        <w:rPr>
          <w:rFonts w:ascii="宋体" w:hAnsi="宋体"/>
          <w:szCs w:val="21"/>
        </w:rPr>
        <w:t>12.2.2预付款担保</w:t>
      </w:r>
    </w:p>
    <w:p>
      <w:pPr>
        <w:spacing w:line="360" w:lineRule="auto"/>
        <w:ind w:firstLine="420" w:firstLineChars="200"/>
        <w:jc w:val="left"/>
        <w:rPr>
          <w:rFonts w:ascii="宋体" w:hAnsi="宋体"/>
          <w:szCs w:val="21"/>
        </w:rPr>
      </w:pPr>
      <w:r>
        <w:rPr>
          <w:rFonts w:ascii="宋体" w:hAnsi="宋体"/>
          <w:szCs w:val="21"/>
        </w:rPr>
        <w:t>承包人提交预付款担保的期限：。</w:t>
      </w:r>
    </w:p>
    <w:p>
      <w:pPr>
        <w:spacing w:line="360" w:lineRule="auto"/>
        <w:ind w:firstLine="420" w:firstLineChars="200"/>
        <w:jc w:val="left"/>
        <w:rPr>
          <w:rFonts w:ascii="宋体" w:hAnsi="宋体"/>
          <w:szCs w:val="21"/>
        </w:rPr>
      </w:pPr>
      <w:r>
        <w:rPr>
          <w:rFonts w:ascii="宋体" w:hAnsi="宋体"/>
          <w:szCs w:val="21"/>
        </w:rPr>
        <w:t>预付款担保的形式为：。</w:t>
      </w:r>
    </w:p>
    <w:bookmarkEnd w:id="643"/>
    <w:bookmarkEnd w:id="644"/>
    <w:bookmarkEnd w:id="645"/>
    <w:bookmarkEnd w:id="646"/>
    <w:bookmarkEnd w:id="647"/>
    <w:bookmarkEnd w:id="648"/>
    <w:bookmarkEnd w:id="649"/>
    <w:bookmarkEnd w:id="650"/>
    <w:bookmarkEnd w:id="651"/>
    <w:bookmarkEnd w:id="652"/>
    <w:p>
      <w:pPr>
        <w:spacing w:after="120" w:line="360" w:lineRule="auto"/>
        <w:ind w:firstLine="420" w:firstLineChars="200"/>
        <w:rPr>
          <w:rFonts w:ascii="宋体" w:hAnsi="宋体"/>
          <w:szCs w:val="21"/>
        </w:rPr>
      </w:pPr>
      <w:r>
        <w:rPr>
          <w:rFonts w:ascii="宋体" w:hAnsi="宋体"/>
          <w:szCs w:val="21"/>
        </w:rPr>
        <w:t>12.3计量</w:t>
      </w:r>
    </w:p>
    <w:p>
      <w:pPr>
        <w:spacing w:line="360" w:lineRule="auto"/>
        <w:ind w:firstLine="420" w:firstLineChars="200"/>
        <w:jc w:val="left"/>
        <w:rPr>
          <w:rFonts w:ascii="宋体" w:hAnsi="宋体"/>
          <w:szCs w:val="21"/>
        </w:rPr>
      </w:pPr>
      <w:r>
        <w:rPr>
          <w:rFonts w:ascii="宋体" w:hAnsi="宋体"/>
          <w:szCs w:val="21"/>
        </w:rPr>
        <w:t>12.3.1计量原则</w:t>
      </w:r>
    </w:p>
    <w:p>
      <w:pPr>
        <w:spacing w:line="360" w:lineRule="auto"/>
        <w:ind w:firstLine="420" w:firstLineChars="200"/>
        <w:jc w:val="left"/>
        <w:rPr>
          <w:rFonts w:ascii="宋体" w:hAnsi="宋体"/>
          <w:szCs w:val="21"/>
        </w:rPr>
      </w:pPr>
      <w:r>
        <w:rPr>
          <w:rFonts w:ascii="宋体" w:hAnsi="宋体"/>
          <w:szCs w:val="21"/>
        </w:rPr>
        <w:t>工程量计算规则：。</w:t>
      </w:r>
    </w:p>
    <w:p>
      <w:pPr>
        <w:spacing w:line="360" w:lineRule="auto"/>
        <w:ind w:firstLine="420" w:firstLineChars="200"/>
        <w:jc w:val="left"/>
        <w:rPr>
          <w:rFonts w:ascii="宋体" w:hAnsi="宋体"/>
          <w:szCs w:val="21"/>
        </w:rPr>
      </w:pPr>
      <w:r>
        <w:rPr>
          <w:rFonts w:ascii="宋体" w:hAnsi="宋体"/>
          <w:szCs w:val="21"/>
        </w:rPr>
        <w:t>12.3.2计量周期</w:t>
      </w:r>
    </w:p>
    <w:p>
      <w:pPr>
        <w:spacing w:line="360" w:lineRule="auto"/>
        <w:ind w:firstLine="420" w:firstLineChars="200"/>
        <w:jc w:val="left"/>
        <w:rPr>
          <w:rFonts w:ascii="宋体" w:hAnsi="宋体"/>
          <w:szCs w:val="21"/>
        </w:rPr>
      </w:pPr>
      <w:r>
        <w:rPr>
          <w:rFonts w:ascii="宋体" w:hAnsi="宋体"/>
          <w:szCs w:val="21"/>
        </w:rPr>
        <w:t>关于计量周期的约定：。</w:t>
      </w:r>
    </w:p>
    <w:p>
      <w:pPr>
        <w:spacing w:line="360" w:lineRule="auto"/>
        <w:ind w:firstLine="420" w:firstLineChars="200"/>
        <w:jc w:val="left"/>
        <w:rPr>
          <w:rFonts w:ascii="宋体" w:hAnsi="宋体"/>
          <w:szCs w:val="21"/>
        </w:rPr>
      </w:pPr>
      <w:r>
        <w:rPr>
          <w:rFonts w:ascii="宋体" w:hAnsi="宋体"/>
          <w:szCs w:val="21"/>
        </w:rPr>
        <w:t>12.3.3单价合同的计量</w:t>
      </w:r>
    </w:p>
    <w:p>
      <w:pPr>
        <w:spacing w:line="360" w:lineRule="auto"/>
        <w:ind w:firstLine="420" w:firstLineChars="200"/>
        <w:jc w:val="left"/>
        <w:rPr>
          <w:rFonts w:ascii="宋体" w:hAnsi="宋体"/>
          <w:szCs w:val="21"/>
        </w:rPr>
      </w:pPr>
      <w:r>
        <w:rPr>
          <w:rFonts w:ascii="宋体" w:hAnsi="宋体"/>
          <w:szCs w:val="21"/>
        </w:rPr>
        <w:t>关于单价合同计量的约定：。</w:t>
      </w:r>
    </w:p>
    <w:p>
      <w:pPr>
        <w:spacing w:line="360" w:lineRule="auto"/>
        <w:ind w:firstLine="420" w:firstLineChars="200"/>
        <w:jc w:val="left"/>
        <w:rPr>
          <w:rFonts w:ascii="宋体" w:hAnsi="宋体"/>
          <w:szCs w:val="21"/>
        </w:rPr>
      </w:pPr>
      <w:r>
        <w:rPr>
          <w:rFonts w:ascii="宋体" w:hAnsi="宋体"/>
          <w:szCs w:val="21"/>
        </w:rPr>
        <w:t>12.3.4总价合同的计量</w:t>
      </w:r>
    </w:p>
    <w:p>
      <w:pPr>
        <w:spacing w:line="360" w:lineRule="auto"/>
        <w:ind w:firstLine="420" w:firstLineChars="200"/>
        <w:jc w:val="left"/>
        <w:rPr>
          <w:rFonts w:ascii="宋体" w:hAnsi="宋体"/>
          <w:szCs w:val="21"/>
        </w:rPr>
      </w:pPr>
      <w:r>
        <w:rPr>
          <w:rFonts w:ascii="宋体" w:hAnsi="宋体"/>
          <w:szCs w:val="21"/>
        </w:rPr>
        <w:t>关于总价合同计量的约定：。</w:t>
      </w:r>
    </w:p>
    <w:p>
      <w:pPr>
        <w:spacing w:line="360" w:lineRule="auto"/>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12.3.6其他价格形式合同的计量</w:t>
      </w:r>
    </w:p>
    <w:p>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12.4工程进度款支付</w:t>
      </w:r>
    </w:p>
    <w:p>
      <w:pPr>
        <w:spacing w:line="360" w:lineRule="auto"/>
        <w:ind w:firstLine="420" w:firstLineChars="200"/>
        <w:jc w:val="left"/>
        <w:rPr>
          <w:rFonts w:ascii="宋体" w:hAnsi="宋体"/>
          <w:szCs w:val="21"/>
        </w:rPr>
      </w:pPr>
      <w:bookmarkStart w:id="653" w:name="_Toc292559921"/>
      <w:bookmarkStart w:id="654" w:name="_Toc300935006"/>
      <w:bookmarkStart w:id="655" w:name="_Toc296503211"/>
      <w:bookmarkStart w:id="656" w:name="_Toc296346712"/>
      <w:bookmarkStart w:id="657" w:name="_Toc296944550"/>
      <w:bookmarkStart w:id="658" w:name="_Toc303539163"/>
      <w:bookmarkStart w:id="659" w:name="_Toc296891251"/>
      <w:bookmarkStart w:id="660" w:name="_Toc297123556"/>
      <w:bookmarkStart w:id="661" w:name="_Toc297120511"/>
      <w:bookmarkStart w:id="662" w:name="_Toc292559416"/>
      <w:bookmarkStart w:id="663" w:name="_Toc296347210"/>
      <w:bookmarkStart w:id="664" w:name="_Toc297216215"/>
      <w:bookmarkStart w:id="665" w:name="_Toc297048397"/>
      <w:bookmarkStart w:id="666" w:name="_Toc296891039"/>
      <w:r>
        <w:rPr>
          <w:rFonts w:ascii="宋体" w:hAnsi="宋体"/>
          <w:szCs w:val="21"/>
        </w:rPr>
        <w:t>12.4.1付款周期</w:t>
      </w:r>
    </w:p>
    <w:p>
      <w:pPr>
        <w:spacing w:line="360" w:lineRule="auto"/>
        <w:ind w:firstLine="420" w:firstLineChars="200"/>
        <w:jc w:val="left"/>
        <w:rPr>
          <w:rFonts w:ascii="宋体" w:hAnsi="宋体"/>
          <w:szCs w:val="21"/>
        </w:rPr>
      </w:pPr>
      <w:r>
        <w:rPr>
          <w:rFonts w:ascii="宋体" w:hAnsi="宋体"/>
          <w:szCs w:val="21"/>
        </w:rPr>
        <w:t>关于付款周期的约定：。</w:t>
      </w:r>
    </w:p>
    <w:p>
      <w:pPr>
        <w:spacing w:line="360" w:lineRule="auto"/>
        <w:ind w:firstLine="420" w:firstLineChars="200"/>
        <w:jc w:val="left"/>
        <w:rPr>
          <w:rFonts w:ascii="宋体" w:hAnsi="宋体"/>
          <w:szCs w:val="21"/>
        </w:rPr>
      </w:pPr>
      <w:r>
        <w:rPr>
          <w:rFonts w:ascii="宋体" w:hAnsi="宋体"/>
          <w:szCs w:val="21"/>
        </w:rPr>
        <w:t>12.4.2进度付款申请单的编制</w:t>
      </w:r>
    </w:p>
    <w:p>
      <w:pPr>
        <w:spacing w:line="360" w:lineRule="auto"/>
        <w:ind w:firstLine="420" w:firstLineChars="200"/>
        <w:jc w:val="left"/>
        <w:rPr>
          <w:rFonts w:ascii="宋体" w:hAnsi="宋体"/>
          <w:szCs w:val="21"/>
          <w:u w:val="single"/>
        </w:rPr>
      </w:pPr>
      <w:r>
        <w:rPr>
          <w:rFonts w:ascii="宋体" w:hAnsi="宋体"/>
          <w:szCs w:val="21"/>
        </w:rPr>
        <w:t>关于进度付款申请单编制的约定：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Fonts w:ascii="宋体" w:hAnsi="宋体"/>
          <w:szCs w:val="21"/>
        </w:rPr>
        <w:t>2.4.3进度付款申请单的提交</w:t>
      </w:r>
    </w:p>
    <w:p>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12.4.4进度款审核和支付</w:t>
      </w:r>
    </w:p>
    <w:p>
      <w:pPr>
        <w:spacing w:line="360" w:lineRule="auto"/>
        <w:ind w:firstLine="420" w:firstLineChars="200"/>
        <w:jc w:val="left"/>
        <w:rPr>
          <w:rFonts w:ascii="宋体" w:hAnsi="宋体"/>
          <w:szCs w:val="21"/>
          <w:u w:val="single"/>
        </w:rPr>
      </w:pPr>
      <w:r>
        <w:rPr>
          <w:rFonts w:ascii="宋体" w:hAnsi="宋体"/>
          <w:szCs w:val="21"/>
        </w:rPr>
        <w:t>（1）监理人审查并报送发包人的期限：。</w:t>
      </w:r>
    </w:p>
    <w:p>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p>
    <w:p>
      <w:pPr>
        <w:spacing w:line="360" w:lineRule="auto"/>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（2）发包人支付进度款的期限：。</w:t>
      </w:r>
    </w:p>
    <w:p>
      <w:pPr>
        <w:spacing w:line="360" w:lineRule="auto"/>
        <w:ind w:firstLine="525" w:firstLineChars="250"/>
        <w:jc w:val="left"/>
        <w:rPr>
          <w:rFonts w:ascii="宋体" w:hAnsi="宋体"/>
          <w:szCs w:val="21"/>
          <w:u w:val="single"/>
        </w:rPr>
      </w:pPr>
      <w:r>
        <w:rPr>
          <w:rFonts w:ascii="宋体" w:hAnsi="宋体"/>
          <w:szCs w:val="21"/>
        </w:rPr>
        <w:t>发包人逾期支付进度款的违约金的计算方式：</w:t>
      </w:r>
    </w:p>
    <w:p>
      <w:pPr>
        <w:spacing w:line="360" w:lineRule="auto"/>
        <w:jc w:val="left"/>
        <w:rPr>
          <w:rFonts w:ascii="宋体" w:hAnsi="宋体"/>
          <w:szCs w:val="21"/>
        </w:rPr>
      </w:pPr>
      <w:r>
        <w:rPr>
          <w:rFonts w:ascii="宋体" w:hAnsi="宋体"/>
          <w:szCs w:val="21"/>
        </w:rPr>
        <w:t>。</w:t>
      </w:r>
    </w:p>
    <w:p>
      <w:pPr>
        <w:spacing w:line="360" w:lineRule="auto"/>
        <w:ind w:firstLine="525" w:firstLineChars="250"/>
        <w:jc w:val="left"/>
        <w:rPr>
          <w:rFonts w:ascii="宋体" w:hAnsi="宋体"/>
          <w:szCs w:val="21"/>
        </w:rPr>
      </w:pPr>
      <w:r>
        <w:rPr>
          <w:rFonts w:ascii="宋体" w:hAnsi="宋体"/>
          <w:szCs w:val="21"/>
        </w:rPr>
        <w:t>12.4.6支付分解表的编制</w:t>
      </w:r>
    </w:p>
    <w:p>
      <w:pPr>
        <w:spacing w:line="360" w:lineRule="auto"/>
        <w:ind w:firstLine="420" w:firstLineChars="200"/>
        <w:jc w:val="left"/>
        <w:rPr>
          <w:rFonts w:ascii="宋体" w:hAnsi="宋体"/>
          <w:szCs w:val="21"/>
          <w:u w:val="single"/>
        </w:rPr>
      </w:pPr>
      <w:r>
        <w:rPr>
          <w:rFonts w:ascii="宋体" w:hAnsi="宋体"/>
          <w:szCs w:val="21"/>
        </w:rPr>
        <w:t>2</w:t>
      </w:r>
      <w:r>
        <w:rPr>
          <w:rFonts w:hint="eastAsia" w:ascii="宋体" w:hAnsi="宋体"/>
          <w:szCs w:val="21"/>
        </w:rPr>
        <w:t>.</w:t>
      </w:r>
      <w:r>
        <w:rPr>
          <w:rFonts w:ascii="宋体" w:hAnsi="宋体"/>
          <w:szCs w:val="21"/>
        </w:rPr>
        <w:t>总价合同支付分解表的编制与审批：</w:t>
      </w:r>
    </w:p>
    <w:p>
      <w:pPr>
        <w:spacing w:line="360" w:lineRule="auto"/>
        <w:ind w:left="4200" w:hanging="4200" w:hangingChars="2000"/>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3</w:t>
      </w:r>
      <w:r>
        <w:rPr>
          <w:rFonts w:hint="eastAsia" w:ascii="宋体" w:hAnsi="宋体"/>
          <w:szCs w:val="21"/>
        </w:rPr>
        <w:t>.</w:t>
      </w:r>
      <w:r>
        <w:rPr>
          <w:rFonts w:ascii="宋体" w:hAnsi="宋体"/>
          <w:szCs w:val="21"/>
        </w:rPr>
        <w:t>单价合同的总价项目支付分解表的编制与审批：</w:t>
      </w:r>
    </w:p>
    <w:p>
      <w:pPr>
        <w:spacing w:line="360" w:lineRule="auto"/>
        <w:jc w:val="left"/>
        <w:rPr>
          <w:rFonts w:ascii="宋体" w:hAnsi="宋体"/>
          <w:szCs w:val="21"/>
        </w:rPr>
      </w:pPr>
      <w:r>
        <w:rPr>
          <w:rFonts w:ascii="宋体" w:hAnsi="宋体"/>
          <w:szCs w:val="21"/>
        </w:rPr>
        <w:t>。</w:t>
      </w:r>
    </w:p>
    <w:p>
      <w:pPr>
        <w:pStyle w:val="6"/>
        <w:spacing w:before="120" w:after="120" w:line="360" w:lineRule="auto"/>
        <w:ind w:firstLine="420" w:firstLineChars="200"/>
        <w:rPr>
          <w:rFonts w:ascii="宋体" w:hAnsi="宋体"/>
          <w:b w:val="0"/>
          <w:sz w:val="21"/>
          <w:szCs w:val="21"/>
        </w:rPr>
      </w:pPr>
      <w:r>
        <w:rPr>
          <w:rFonts w:ascii="宋体" w:hAnsi="宋体"/>
          <w:b w:val="0"/>
          <w:sz w:val="21"/>
          <w:szCs w:val="21"/>
        </w:rPr>
        <w:t>12.5</w:t>
      </w:r>
      <w:r>
        <w:rPr>
          <w:rFonts w:hint="eastAsia" w:ascii="宋体" w:hAnsi="宋体"/>
          <w:b w:val="0"/>
          <w:sz w:val="21"/>
          <w:szCs w:val="21"/>
        </w:rPr>
        <w:t>农民工工资</w:t>
      </w:r>
    </w:p>
    <w:p>
      <w:pPr>
        <w:spacing w:line="360" w:lineRule="auto"/>
        <w:ind w:firstLine="420" w:firstLineChars="200"/>
        <w:jc w:val="left"/>
        <w:rPr>
          <w:rFonts w:ascii="宋体" w:hAnsi="宋体"/>
          <w:kern w:val="0"/>
          <w:szCs w:val="21"/>
        </w:rPr>
      </w:pPr>
      <w:r>
        <w:rPr>
          <w:rFonts w:hint="eastAsia" w:ascii="宋体" w:hAnsi="宋体"/>
          <w:kern w:val="0"/>
          <w:szCs w:val="21"/>
        </w:rPr>
        <w:t>12.5.2人工费支付方式</w:t>
      </w:r>
    </w:p>
    <w:p>
      <w:pPr>
        <w:spacing w:line="360" w:lineRule="auto"/>
        <w:ind w:firstLine="420" w:firstLineChars="200"/>
        <w:jc w:val="left"/>
        <w:rPr>
          <w:rFonts w:ascii="宋体" w:hAnsi="宋体"/>
          <w:kern w:val="0"/>
          <w:szCs w:val="21"/>
        </w:rPr>
      </w:pPr>
      <w:r>
        <w:rPr>
          <w:rFonts w:hint="eastAsia" w:ascii="宋体" w:hAnsi="宋体"/>
          <w:kern w:val="0"/>
          <w:szCs w:val="21"/>
        </w:rPr>
        <w:t>人工费支付采用以下第种方式：</w:t>
      </w:r>
    </w:p>
    <w:p>
      <w:pPr>
        <w:spacing w:line="360" w:lineRule="auto"/>
        <w:ind w:firstLine="420" w:firstLineChars="200"/>
        <w:jc w:val="left"/>
        <w:rPr>
          <w:rFonts w:ascii="宋体" w:hAnsi="宋体"/>
          <w:kern w:val="0"/>
          <w:szCs w:val="21"/>
        </w:rPr>
      </w:pPr>
      <w:r>
        <w:rPr>
          <w:rFonts w:hint="eastAsia" w:ascii="宋体" w:hAnsi="宋体"/>
          <w:kern w:val="0"/>
          <w:szCs w:val="21"/>
        </w:rPr>
        <w:t>（1）一次性预付。在工程开工通知载明的开工日期前一次性将人工费（签约合同价的%）全部支付至承包人农民工工资专用账户。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（2）按月预付。在合同工期内，每月5日前将本月施工所需人工费（不低于该工程全部人工费按合同工期的月平均额）支付至承包人农民工工资专用账户。</w:t>
      </w:r>
    </w:p>
    <w:p>
      <w:pPr>
        <w:spacing w:line="360" w:lineRule="auto"/>
        <w:ind w:firstLine="420" w:firstLineChars="200"/>
        <w:jc w:val="left"/>
        <w:rPr>
          <w:rFonts w:ascii="宋体" w:hAnsi="宋体"/>
          <w:kern w:val="0"/>
          <w:szCs w:val="21"/>
        </w:rPr>
      </w:pPr>
      <w:r>
        <w:rPr>
          <w:rFonts w:hint="eastAsia" w:ascii="宋体" w:hAnsi="宋体"/>
          <w:kern w:val="0"/>
          <w:szCs w:val="21"/>
        </w:rPr>
        <w:t>（3）按节点预付。在分部分项工程开始施工前，将该分部分项工程施工所需人工费支付至承包人农民工工资专用账户。</w:t>
      </w:r>
    </w:p>
    <w:p>
      <w:pPr>
        <w:spacing w:line="360" w:lineRule="auto"/>
        <w:ind w:firstLine="420" w:firstLineChars="200"/>
        <w:jc w:val="left"/>
        <w:rPr>
          <w:rFonts w:ascii="宋体" w:hAnsi="宋体"/>
          <w:szCs w:val="21"/>
        </w:rPr>
      </w:pPr>
      <w:r>
        <w:rPr>
          <w:rFonts w:hint="eastAsia" w:ascii="宋体" w:hAnsi="宋体"/>
          <w:kern w:val="0"/>
          <w:szCs w:val="21"/>
        </w:rPr>
        <w:t>（4）按月支付。发包人根据承包人每月提报的已完成施工产值中的人工费清单，按月将人工费支付至承包人农民工工资专用账户。</w:t>
      </w:r>
    </w:p>
    <w:bookmarkEnd w:id="496"/>
    <w:p>
      <w:pPr>
        <w:pStyle w:val="5"/>
        <w:spacing w:before="120" w:after="120" w:line="360" w:lineRule="auto"/>
        <w:rPr>
          <w:rFonts w:ascii="宋体" w:hAnsi="宋体" w:eastAsia="宋体"/>
          <w:b w:val="0"/>
          <w:sz w:val="21"/>
          <w:szCs w:val="21"/>
        </w:rPr>
      </w:pPr>
      <w:bookmarkStart w:id="667" w:name="_Toc351203645"/>
      <w:bookmarkStart w:id="668" w:name="_Toc297120519"/>
      <w:bookmarkStart w:id="669" w:name="_Toc297216223"/>
      <w:bookmarkStart w:id="670" w:name="_Toc304295593"/>
      <w:bookmarkStart w:id="671" w:name="_Toc303539172"/>
      <w:bookmarkStart w:id="672" w:name="_Toc312678053"/>
      <w:bookmarkStart w:id="673" w:name="_Toc296944558"/>
      <w:bookmarkStart w:id="674" w:name="_Toc296347218"/>
      <w:bookmarkStart w:id="675" w:name="_Toc296503219"/>
      <w:bookmarkStart w:id="676" w:name="_Toc292559424"/>
      <w:bookmarkStart w:id="677" w:name="_Toc296346720"/>
      <w:bookmarkStart w:id="678" w:name="_Toc292559929"/>
      <w:bookmarkStart w:id="679" w:name="_Toc300935015"/>
      <w:bookmarkStart w:id="680" w:name="_Toc297048405"/>
      <w:bookmarkStart w:id="681" w:name="_Toc296891259"/>
      <w:bookmarkStart w:id="682" w:name="_Toc296891047"/>
      <w:bookmarkStart w:id="683" w:name="_Toc297123564"/>
      <w:r>
        <w:rPr>
          <w:rFonts w:ascii="宋体" w:hAnsi="宋体" w:eastAsia="宋体"/>
          <w:b w:val="0"/>
          <w:sz w:val="21"/>
          <w:szCs w:val="21"/>
        </w:rPr>
        <w:t>13.验收和工程试车</w:t>
      </w:r>
      <w:bookmarkEnd w:id="667"/>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Pr>
        <w:spacing w:after="120" w:line="360" w:lineRule="auto"/>
        <w:ind w:firstLine="420" w:firstLineChars="200"/>
        <w:rPr>
          <w:rFonts w:ascii="宋体" w:hAnsi="宋体"/>
          <w:szCs w:val="21"/>
        </w:rPr>
      </w:pPr>
      <w:r>
        <w:rPr>
          <w:rFonts w:ascii="宋体" w:hAnsi="宋体"/>
          <w:szCs w:val="21"/>
        </w:rPr>
        <w:t>13.1分部分项工程验收</w:t>
      </w:r>
    </w:p>
    <w:p>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pPr>
        <w:spacing w:line="360" w:lineRule="auto"/>
        <w:ind w:firstLine="420" w:firstLineChars="200"/>
        <w:jc w:val="left"/>
        <w:rPr>
          <w:rFonts w:ascii="宋体" w:hAnsi="宋体"/>
          <w:b/>
          <w:szCs w:val="21"/>
        </w:rPr>
      </w:pPr>
      <w:r>
        <w:rPr>
          <w:rFonts w:ascii="宋体" w:hAnsi="宋体"/>
          <w:szCs w:val="21"/>
        </w:rPr>
        <w:t>关于延期最长不得超过：小时。</w:t>
      </w:r>
    </w:p>
    <w:p>
      <w:pPr>
        <w:spacing w:after="120" w:line="360" w:lineRule="auto"/>
        <w:ind w:firstLine="420" w:firstLineChars="200"/>
        <w:rPr>
          <w:rFonts w:ascii="宋体" w:hAnsi="宋体"/>
          <w:szCs w:val="21"/>
        </w:rPr>
      </w:pPr>
      <w:bookmarkStart w:id="684" w:name="_Toc292559933"/>
      <w:bookmarkStart w:id="685" w:name="_Toc292559428"/>
      <w:bookmarkStart w:id="686" w:name="_Toc297120523"/>
      <w:bookmarkStart w:id="687" w:name="_Toc296346724"/>
      <w:bookmarkStart w:id="688" w:name="_Toc296503223"/>
      <w:bookmarkStart w:id="689" w:name="_Toc296891051"/>
      <w:bookmarkStart w:id="690" w:name="_Toc296347222"/>
      <w:bookmarkStart w:id="691" w:name="_Toc312678056"/>
      <w:bookmarkStart w:id="692" w:name="_Toc296944562"/>
      <w:bookmarkStart w:id="693" w:name="_Toc297216224"/>
      <w:bookmarkStart w:id="694" w:name="_Toc297123565"/>
      <w:bookmarkStart w:id="695" w:name="_Toc303539173"/>
      <w:bookmarkStart w:id="696" w:name="_Toc304295596"/>
      <w:bookmarkStart w:id="697" w:name="_Toc296891263"/>
      <w:bookmarkStart w:id="698" w:name="_Toc300935016"/>
      <w:bookmarkStart w:id="699" w:name="_Toc297048409"/>
      <w:bookmarkStart w:id="700" w:name="_Toc267251474"/>
      <w:bookmarkStart w:id="701" w:name="_Toc267251472"/>
      <w:bookmarkStart w:id="702" w:name="_Toc267251473"/>
      <w:bookmarkStart w:id="703" w:name="_Toc267251475"/>
      <w:bookmarkStart w:id="704" w:name="_Toc267251470"/>
      <w:bookmarkStart w:id="705" w:name="_Toc267251471"/>
      <w:bookmarkStart w:id="706" w:name="_Toc267251476"/>
      <w:r>
        <w:rPr>
          <w:rFonts w:ascii="宋体" w:hAnsi="宋体"/>
          <w:szCs w:val="21"/>
        </w:rPr>
        <w:t>13.2竣工验收</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spacing w:line="360" w:lineRule="auto"/>
        <w:ind w:firstLine="420" w:firstLineChars="200"/>
        <w:jc w:val="left"/>
        <w:rPr>
          <w:rFonts w:ascii="宋体" w:hAnsi="宋体"/>
          <w:szCs w:val="21"/>
        </w:rPr>
      </w:pPr>
      <w:bookmarkStart w:id="707" w:name="_Toc280868704"/>
      <w:bookmarkStart w:id="708" w:name="_Toc280868705"/>
      <w:bookmarkStart w:id="709" w:name="_Toc280868706"/>
      <w:bookmarkStart w:id="710" w:name="_Toc280868707"/>
      <w:bookmarkStart w:id="711" w:name="_Toc280868708"/>
      <w:bookmarkStart w:id="712" w:name="_Toc280868709"/>
      <w:r>
        <w:rPr>
          <w:rFonts w:ascii="宋体" w:hAnsi="宋体"/>
          <w:szCs w:val="21"/>
        </w:rPr>
        <w:t>13.2.2竣工验收程序</w:t>
      </w:r>
    </w:p>
    <w:bookmarkEnd w:id="707"/>
    <w:p>
      <w:pPr>
        <w:spacing w:line="360" w:lineRule="auto"/>
        <w:ind w:firstLine="420" w:firstLineChars="200"/>
        <w:jc w:val="left"/>
        <w:rPr>
          <w:rFonts w:ascii="宋体" w:hAnsi="宋体"/>
          <w:szCs w:val="21"/>
          <w:u w:val="single"/>
        </w:rPr>
      </w:pPr>
      <w:r>
        <w:rPr>
          <w:rFonts w:ascii="宋体" w:hAnsi="宋体"/>
          <w:kern w:val="0"/>
          <w:szCs w:val="21"/>
        </w:rPr>
        <w:t>关于竣工验收程序的约定：</w:t>
      </w:r>
    </w:p>
    <w:p>
      <w:pPr>
        <w:spacing w:line="360" w:lineRule="auto"/>
        <w:ind w:left="4200" w:hanging="4200" w:hangingChars="2000"/>
        <w:jc w:val="left"/>
        <w:rPr>
          <w:rFonts w:ascii="宋体" w:hAnsi="宋体"/>
          <w:szCs w:val="21"/>
        </w:rPr>
      </w:pP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kern w:val="0"/>
          <w:szCs w:val="21"/>
        </w:rPr>
        <w:t>发包人不按照本项约定组织竣工验收、颁发工程接收证书的违约金的计算方法：</w:t>
      </w:r>
    </w:p>
    <w:p>
      <w:pPr>
        <w:spacing w:line="360" w:lineRule="auto"/>
        <w:jc w:val="left"/>
        <w:rPr>
          <w:rFonts w:ascii="宋体" w:hAnsi="宋体"/>
          <w:szCs w:val="21"/>
        </w:rPr>
      </w:pPr>
      <w:r>
        <w:rPr>
          <w:rFonts w:ascii="宋体" w:hAnsi="宋体"/>
          <w:szCs w:val="21"/>
        </w:rPr>
        <w:t>。</w:t>
      </w:r>
    </w:p>
    <w:bookmarkEnd w:id="708"/>
    <w:p>
      <w:pPr>
        <w:spacing w:line="360" w:lineRule="auto"/>
        <w:ind w:firstLine="420" w:firstLineChars="200"/>
        <w:jc w:val="left"/>
        <w:rPr>
          <w:rFonts w:ascii="宋体" w:hAnsi="宋体"/>
          <w:szCs w:val="21"/>
        </w:rPr>
      </w:pPr>
      <w:r>
        <w:rPr>
          <w:rFonts w:ascii="宋体" w:hAnsi="宋体"/>
          <w:szCs w:val="21"/>
        </w:rPr>
        <w:t>13.2.5移交、接收全部与部分工程</w:t>
      </w:r>
    </w:p>
    <w:bookmarkEnd w:id="709"/>
    <w:p>
      <w:pPr>
        <w:spacing w:line="360" w:lineRule="auto"/>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rPr>
        <w:t>。</w:t>
      </w:r>
    </w:p>
    <w:p>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rPr>
        <w:t>。</w:t>
      </w:r>
    </w:p>
    <w:bookmarkEnd w:id="710"/>
    <w:p>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13.3工程试车</w:t>
      </w:r>
    </w:p>
    <w:bookmarkEnd w:id="711"/>
    <w:p>
      <w:pPr>
        <w:spacing w:line="360" w:lineRule="auto"/>
        <w:ind w:firstLine="420" w:firstLineChars="200"/>
        <w:jc w:val="left"/>
        <w:rPr>
          <w:rFonts w:ascii="宋体" w:hAnsi="宋体"/>
          <w:kern w:val="0"/>
          <w:szCs w:val="21"/>
        </w:rPr>
      </w:pPr>
      <w:r>
        <w:rPr>
          <w:rFonts w:ascii="宋体" w:hAnsi="宋体"/>
          <w:kern w:val="0"/>
          <w:szCs w:val="21"/>
        </w:rPr>
        <w:t>13.3.1试车程序</w:t>
      </w:r>
    </w:p>
    <w:p>
      <w:pPr>
        <w:spacing w:line="360" w:lineRule="auto"/>
        <w:ind w:firstLine="420" w:firstLineChars="200"/>
        <w:jc w:val="left"/>
        <w:rPr>
          <w:rFonts w:ascii="宋体" w:hAnsi="宋体"/>
          <w:szCs w:val="21"/>
          <w:u w:val="single"/>
        </w:rPr>
      </w:pPr>
      <w:r>
        <w:rPr>
          <w:rFonts w:ascii="宋体" w:hAnsi="宋体"/>
          <w:kern w:val="0"/>
          <w:szCs w:val="21"/>
        </w:rPr>
        <w:t>工程试车内容：</w:t>
      </w:r>
    </w:p>
    <w:p>
      <w:pPr>
        <w:spacing w:line="360" w:lineRule="auto"/>
        <w:jc w:val="left"/>
        <w:rPr>
          <w:rFonts w:ascii="宋体" w:hAnsi="宋体"/>
          <w:kern w:val="0"/>
          <w:szCs w:val="21"/>
        </w:rPr>
      </w:pP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pPr>
        <w:spacing w:line="360" w:lineRule="auto"/>
        <w:ind w:firstLine="420" w:firstLineChars="200"/>
        <w:jc w:val="left"/>
        <w:rPr>
          <w:rFonts w:ascii="宋体" w:hAnsi="宋体"/>
          <w:kern w:val="0"/>
          <w:szCs w:val="21"/>
        </w:rPr>
      </w:pPr>
      <w:r>
        <w:rPr>
          <w:rFonts w:ascii="宋体" w:hAnsi="宋体"/>
          <w:kern w:val="0"/>
          <w:szCs w:val="21"/>
        </w:rPr>
        <w:t>13.3.3投料试车</w:t>
      </w:r>
    </w:p>
    <w:p>
      <w:pPr>
        <w:spacing w:line="360" w:lineRule="auto"/>
        <w:ind w:firstLine="420" w:firstLineChars="200"/>
        <w:jc w:val="left"/>
        <w:rPr>
          <w:rFonts w:ascii="宋体" w:hAnsi="宋体"/>
          <w:szCs w:val="21"/>
          <w:u w:val="single"/>
        </w:rPr>
      </w:pPr>
      <w:r>
        <w:rPr>
          <w:rFonts w:hint="eastAsia" w:ascii="宋体" w:hAnsi="宋体"/>
          <w:kern w:val="0"/>
          <w:szCs w:val="21"/>
        </w:rPr>
        <w:t>关于投料试车相关事项的约定：</w:t>
      </w:r>
    </w:p>
    <w:p>
      <w:pPr>
        <w:spacing w:line="360" w:lineRule="auto"/>
        <w:jc w:val="left"/>
        <w:rPr>
          <w:rFonts w:ascii="宋体" w:hAnsi="宋体"/>
          <w:kern w:val="0"/>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13.6竣工退场</w:t>
      </w:r>
    </w:p>
    <w:p>
      <w:pPr>
        <w:spacing w:line="360" w:lineRule="auto"/>
        <w:ind w:firstLine="420" w:firstLineChars="200"/>
        <w:jc w:val="left"/>
        <w:rPr>
          <w:rFonts w:ascii="宋体" w:hAnsi="宋体"/>
          <w:kern w:val="0"/>
          <w:szCs w:val="21"/>
        </w:rPr>
      </w:pPr>
      <w:r>
        <w:rPr>
          <w:rFonts w:ascii="宋体" w:hAnsi="宋体"/>
          <w:kern w:val="0"/>
          <w:szCs w:val="21"/>
        </w:rPr>
        <w:t>13.6.1竣工退场</w:t>
      </w:r>
    </w:p>
    <w:p>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p>
    <w:p>
      <w:pPr>
        <w:pStyle w:val="5"/>
        <w:spacing w:before="120" w:after="120" w:line="360" w:lineRule="auto"/>
        <w:rPr>
          <w:rFonts w:ascii="宋体" w:hAnsi="宋体" w:eastAsia="宋体"/>
          <w:b w:val="0"/>
          <w:sz w:val="21"/>
          <w:szCs w:val="21"/>
        </w:rPr>
      </w:pPr>
      <w:bookmarkStart w:id="713" w:name="_Toc351203646"/>
      <w:r>
        <w:rPr>
          <w:rFonts w:ascii="宋体" w:hAnsi="宋体" w:eastAsia="宋体"/>
          <w:b w:val="0"/>
          <w:sz w:val="21"/>
          <w:szCs w:val="21"/>
        </w:rPr>
        <w:t>14.竣工结算</w:t>
      </w:r>
      <w:bookmarkEnd w:id="713"/>
    </w:p>
    <w:p>
      <w:pPr>
        <w:spacing w:after="120" w:line="360" w:lineRule="auto"/>
        <w:ind w:firstLine="420" w:firstLineChars="200"/>
        <w:rPr>
          <w:rFonts w:ascii="宋体" w:hAnsi="宋体"/>
          <w:szCs w:val="21"/>
        </w:rPr>
      </w:pPr>
      <w:r>
        <w:rPr>
          <w:rFonts w:ascii="宋体" w:hAnsi="宋体"/>
          <w:szCs w:val="21"/>
        </w:rPr>
        <w:t>14.1竣工</w:t>
      </w:r>
      <w:r>
        <w:rPr>
          <w:rFonts w:hint="eastAsia" w:ascii="宋体" w:hAnsi="宋体"/>
          <w:szCs w:val="21"/>
        </w:rPr>
        <w:t>结算</w:t>
      </w:r>
      <w:r>
        <w:rPr>
          <w:rFonts w:ascii="宋体" w:hAnsi="宋体"/>
          <w:szCs w:val="21"/>
        </w:rPr>
        <w:t>申请</w:t>
      </w:r>
    </w:p>
    <w:p>
      <w:pPr>
        <w:spacing w:line="360" w:lineRule="auto"/>
        <w:ind w:firstLine="420" w:firstLineChars="200"/>
        <w:jc w:val="left"/>
        <w:rPr>
          <w:rFonts w:ascii="宋体" w:hAnsi="宋体"/>
          <w:szCs w:val="21"/>
        </w:rPr>
      </w:pPr>
      <w:r>
        <w:rPr>
          <w:rFonts w:ascii="宋体" w:hAnsi="宋体"/>
          <w:szCs w:val="21"/>
        </w:rPr>
        <w:t>承包人提交竣工</w:t>
      </w:r>
      <w:r>
        <w:rPr>
          <w:rFonts w:hint="eastAsia" w:ascii="宋体" w:hAnsi="宋体"/>
          <w:szCs w:val="21"/>
        </w:rPr>
        <w:t>结算</w:t>
      </w:r>
      <w:r>
        <w:rPr>
          <w:rFonts w:ascii="宋体" w:hAnsi="宋体"/>
          <w:szCs w:val="21"/>
        </w:rPr>
        <w:t>申请单的期限：。</w:t>
      </w:r>
    </w:p>
    <w:p>
      <w:pPr>
        <w:spacing w:line="360" w:lineRule="auto"/>
        <w:ind w:firstLine="420" w:firstLineChars="200"/>
        <w:jc w:val="left"/>
        <w:rPr>
          <w:rFonts w:ascii="宋体" w:hAnsi="宋体"/>
          <w:szCs w:val="21"/>
          <w:u w:val="single"/>
        </w:rPr>
      </w:pPr>
      <w:r>
        <w:rPr>
          <w:rFonts w:ascii="宋体" w:hAnsi="宋体"/>
          <w:szCs w:val="21"/>
        </w:rPr>
        <w:t>竣工</w:t>
      </w:r>
      <w:r>
        <w:rPr>
          <w:rFonts w:hint="eastAsia" w:ascii="宋体" w:hAnsi="宋体"/>
          <w:szCs w:val="21"/>
        </w:rPr>
        <w:t>结算</w:t>
      </w:r>
      <w:r>
        <w:rPr>
          <w:rFonts w:ascii="宋体" w:hAnsi="宋体"/>
          <w:szCs w:val="21"/>
        </w:rPr>
        <w:t>申请单应包括的内容：</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14.2竣工结算审核</w:t>
      </w:r>
    </w:p>
    <w:p>
      <w:pPr>
        <w:spacing w:line="360" w:lineRule="auto"/>
        <w:ind w:firstLine="420" w:firstLineChars="200"/>
        <w:jc w:val="left"/>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p>
    <w:p>
      <w:pPr>
        <w:spacing w:line="360" w:lineRule="auto"/>
        <w:ind w:firstLine="420" w:firstLineChars="200"/>
        <w:jc w:val="left"/>
        <w:rPr>
          <w:rFonts w:ascii="宋体" w:hAnsi="宋体"/>
          <w:szCs w:val="21"/>
        </w:rPr>
      </w:pPr>
      <w:r>
        <w:rPr>
          <w:rFonts w:ascii="宋体" w:hAnsi="宋体"/>
          <w:szCs w:val="21"/>
        </w:rPr>
        <w:t>发包人完成竣工付款的期限：。</w:t>
      </w:r>
    </w:p>
    <w:p>
      <w:pPr>
        <w:spacing w:line="360" w:lineRule="auto"/>
        <w:ind w:firstLine="420" w:firstLineChars="200"/>
        <w:jc w:val="left"/>
        <w:rPr>
          <w:rFonts w:ascii="宋体" w:hAnsi="宋体"/>
          <w:szCs w:val="21"/>
          <w:u w:val="single"/>
        </w:rPr>
      </w:pPr>
      <w:r>
        <w:rPr>
          <w:rFonts w:hint="eastAsia" w:ascii="宋体" w:hAnsi="宋体"/>
          <w:szCs w:val="21"/>
        </w:rPr>
        <w:t>关于竣工付款证书异议部分复核的方式和程序：</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14.5最终结清</w:t>
      </w:r>
    </w:p>
    <w:p>
      <w:pPr>
        <w:spacing w:line="360" w:lineRule="auto"/>
        <w:ind w:firstLine="420" w:firstLineChars="200"/>
        <w:jc w:val="left"/>
        <w:rPr>
          <w:rFonts w:ascii="宋体" w:hAnsi="宋体"/>
          <w:kern w:val="0"/>
          <w:szCs w:val="21"/>
        </w:rPr>
      </w:pPr>
      <w:r>
        <w:rPr>
          <w:rFonts w:ascii="宋体" w:hAnsi="宋体"/>
          <w:kern w:val="0"/>
          <w:szCs w:val="21"/>
        </w:rPr>
        <w:t>14.5.1最终结清申请单</w:t>
      </w:r>
    </w:p>
    <w:p>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rPr>
        <w:t>。</w:t>
      </w:r>
    </w:p>
    <w:p>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14.5.2最终结清证书和支付</w:t>
      </w:r>
    </w:p>
    <w:p>
      <w:pPr>
        <w:spacing w:line="360" w:lineRule="auto"/>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p>
    <w:p>
      <w:pPr>
        <w:spacing w:line="360" w:lineRule="auto"/>
        <w:ind w:firstLine="420" w:firstLineChars="200"/>
        <w:jc w:val="left"/>
        <w:rPr>
          <w:rFonts w:ascii="宋体" w:hAnsi="宋体"/>
          <w:szCs w:val="21"/>
        </w:rPr>
      </w:pPr>
      <w:r>
        <w:rPr>
          <w:rFonts w:ascii="宋体" w:hAnsi="宋体"/>
          <w:szCs w:val="21"/>
        </w:rPr>
        <w:t>（2）发包人完成支付的期限：。</w:t>
      </w:r>
    </w:p>
    <w:bookmarkEnd w:id="700"/>
    <w:bookmarkEnd w:id="701"/>
    <w:bookmarkEnd w:id="702"/>
    <w:bookmarkEnd w:id="703"/>
    <w:bookmarkEnd w:id="704"/>
    <w:bookmarkEnd w:id="705"/>
    <w:bookmarkEnd w:id="706"/>
    <w:bookmarkEnd w:id="712"/>
    <w:p>
      <w:pPr>
        <w:pStyle w:val="5"/>
        <w:spacing w:before="120" w:after="120" w:line="360" w:lineRule="auto"/>
        <w:rPr>
          <w:rFonts w:ascii="宋体" w:hAnsi="宋体" w:eastAsia="宋体"/>
          <w:b w:val="0"/>
          <w:sz w:val="21"/>
          <w:szCs w:val="21"/>
        </w:rPr>
      </w:pPr>
      <w:bookmarkStart w:id="714" w:name="_Toc351203647"/>
      <w:bookmarkStart w:id="715" w:name="_Toc267251483"/>
      <w:bookmarkStart w:id="716" w:name="_Toc267251484"/>
      <w:bookmarkStart w:id="717" w:name="_Toc267251482"/>
      <w:bookmarkStart w:id="718" w:name="_Toc267251485"/>
      <w:bookmarkStart w:id="719" w:name="_Toc267251486"/>
      <w:bookmarkStart w:id="720" w:name="_Toc267251489"/>
      <w:bookmarkStart w:id="721" w:name="_Toc267251488"/>
      <w:bookmarkStart w:id="722" w:name="_Toc267251490"/>
      <w:bookmarkStart w:id="723" w:name="_Toc267251498"/>
      <w:bookmarkStart w:id="724" w:name="_Toc267251496"/>
      <w:bookmarkStart w:id="725" w:name="_Toc267251503"/>
      <w:bookmarkStart w:id="726" w:name="_Toc267251494"/>
      <w:bookmarkStart w:id="727" w:name="_Toc267251493"/>
      <w:bookmarkStart w:id="728" w:name="_Toc267251491"/>
      <w:bookmarkStart w:id="729" w:name="_Toc267251502"/>
      <w:bookmarkStart w:id="730" w:name="_Toc267251497"/>
      <w:bookmarkStart w:id="731" w:name="_Toc267251492"/>
      <w:bookmarkStart w:id="732" w:name="_Toc267251495"/>
      <w:bookmarkStart w:id="733" w:name="_Toc267251499"/>
      <w:bookmarkStart w:id="734" w:name="_Toc267251501"/>
      <w:bookmarkStart w:id="735" w:name="_Toc267251506"/>
      <w:bookmarkStart w:id="736" w:name="_Toc267251504"/>
      <w:bookmarkStart w:id="737" w:name="_Toc267251507"/>
      <w:bookmarkStart w:id="738" w:name="_Toc267251508"/>
      <w:bookmarkStart w:id="739" w:name="_Toc267251509"/>
      <w:bookmarkStart w:id="740" w:name="_Toc267251511"/>
      <w:bookmarkStart w:id="741" w:name="_Toc267251514"/>
      <w:bookmarkStart w:id="742" w:name="_Toc267251510"/>
      <w:bookmarkStart w:id="743" w:name="_Toc267251515"/>
      <w:bookmarkStart w:id="744" w:name="_Toc267251513"/>
      <w:r>
        <w:rPr>
          <w:rFonts w:ascii="宋体" w:hAnsi="宋体" w:eastAsia="宋体"/>
          <w:b w:val="0"/>
          <w:sz w:val="21"/>
          <w:szCs w:val="21"/>
        </w:rPr>
        <w:t>15.缺陷责任期与保修</w:t>
      </w:r>
      <w:bookmarkEnd w:id="714"/>
    </w:p>
    <w:p>
      <w:pPr>
        <w:spacing w:after="120" w:line="360" w:lineRule="auto"/>
        <w:ind w:firstLine="420" w:firstLineChars="200"/>
        <w:rPr>
          <w:rFonts w:ascii="宋体" w:hAnsi="宋体"/>
          <w:szCs w:val="21"/>
        </w:rPr>
      </w:pPr>
      <w:r>
        <w:rPr>
          <w:rFonts w:ascii="宋体" w:hAnsi="宋体"/>
          <w:szCs w:val="21"/>
        </w:rPr>
        <w:t>15.2缺陷责任期</w:t>
      </w:r>
      <w:bookmarkEnd w:id="715"/>
    </w:p>
    <w:p>
      <w:pPr>
        <w:spacing w:line="360" w:lineRule="auto"/>
        <w:ind w:firstLine="420" w:firstLineChars="200"/>
        <w:jc w:val="left"/>
        <w:rPr>
          <w:rFonts w:ascii="宋体" w:hAnsi="宋体"/>
          <w:szCs w:val="21"/>
          <w:u w:val="single"/>
        </w:rPr>
      </w:pPr>
      <w:r>
        <w:rPr>
          <w:rFonts w:ascii="宋体" w:hAnsi="宋体"/>
          <w:szCs w:val="21"/>
        </w:rPr>
        <w:t>缺陷责任期的具体期限：</w:t>
      </w:r>
    </w:p>
    <w:p>
      <w:pPr>
        <w:spacing w:line="360" w:lineRule="auto"/>
        <w:jc w:val="left"/>
        <w:rPr>
          <w:rFonts w:ascii="宋体" w:hAnsi="宋体"/>
          <w:szCs w:val="21"/>
        </w:rPr>
      </w:pP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15.3质量保证金</w:t>
      </w:r>
    </w:p>
    <w:p>
      <w:pPr>
        <w:spacing w:line="360" w:lineRule="auto"/>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rPr>
        <w:t>。</w:t>
      </w:r>
      <w:r>
        <w:rPr>
          <w:rFonts w:hint="eastAsia" w:ascii="宋体" w:hAnsi="宋体"/>
          <w:szCs w:val="21"/>
        </w:rPr>
        <w:t>在工程项目竣工前，承包人按专用合同条款第3.7条提供履约担保的，发包人不得同时预留工程质量保证金。</w:t>
      </w:r>
    </w:p>
    <w:p>
      <w:pPr>
        <w:spacing w:line="360" w:lineRule="auto"/>
        <w:ind w:firstLine="420" w:firstLineChars="200"/>
        <w:jc w:val="left"/>
        <w:outlineLvl w:val="0"/>
        <w:rPr>
          <w:rFonts w:ascii="宋体" w:hAnsi="宋体"/>
          <w:szCs w:val="21"/>
        </w:rPr>
      </w:pPr>
      <w:r>
        <w:rPr>
          <w:rFonts w:ascii="宋体" w:hAnsi="宋体"/>
          <w:szCs w:val="21"/>
        </w:rPr>
        <w:t>15.3.1</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p>
    <w:p>
      <w:pPr>
        <w:spacing w:line="360" w:lineRule="auto"/>
        <w:ind w:firstLine="420" w:firstLineChars="200"/>
        <w:jc w:val="left"/>
        <w:rPr>
          <w:rFonts w:ascii="宋体" w:hAnsi="宋体"/>
          <w:szCs w:val="21"/>
        </w:rPr>
      </w:pPr>
      <w:r>
        <w:rPr>
          <w:rFonts w:ascii="宋体" w:hAnsi="宋体"/>
          <w:szCs w:val="21"/>
        </w:rPr>
        <w:t>质量保证金采用以下第种方式：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w:t>
      </w:r>
      <w:r>
        <w:rPr>
          <w:rFonts w:hint="eastAsia" w:ascii="宋体" w:hAnsi="宋体"/>
          <w:kern w:val="0"/>
          <w:szCs w:val="21"/>
        </w:rPr>
        <w:t>（含银行保函、保险保函、融资性担保公司担保等任一形式）</w:t>
      </w:r>
      <w:r>
        <w:rPr>
          <w:rFonts w:ascii="宋体" w:hAnsi="宋体"/>
          <w:kern w:val="0"/>
          <w:szCs w:val="21"/>
        </w:rPr>
        <w:t xml:space="preserve">，保证金额为：；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（2）%的工程款；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承包人选择以质量保证金保函</w:t>
      </w:r>
      <w:r>
        <w:rPr>
          <w:rFonts w:hint="eastAsia" w:ascii="宋体" w:hAnsi="宋体"/>
          <w:iCs/>
          <w:kern w:val="0"/>
          <w:szCs w:val="21"/>
        </w:rPr>
        <w:t>（含银行保函、保险保函、融资性担保公司担保等任一形式）</w:t>
      </w:r>
      <w:r>
        <w:rPr>
          <w:rFonts w:hint="eastAsia" w:ascii="宋体" w:hAnsi="宋体"/>
          <w:kern w:val="0"/>
          <w:szCs w:val="21"/>
        </w:rPr>
        <w:t>代替质量保证金的，发包人不得以任何理由拒绝或限制使用。</w:t>
      </w:r>
    </w:p>
    <w:p>
      <w:pPr>
        <w:spacing w:line="360" w:lineRule="auto"/>
        <w:ind w:firstLine="420" w:firstLineChars="200"/>
        <w:jc w:val="left"/>
        <w:outlineLvl w:val="0"/>
        <w:rPr>
          <w:rFonts w:ascii="宋体" w:hAnsi="宋体"/>
          <w:szCs w:val="21"/>
        </w:rPr>
      </w:pPr>
      <w:r>
        <w:rPr>
          <w:rFonts w:ascii="宋体" w:hAnsi="宋体"/>
          <w:szCs w:val="21"/>
        </w:rPr>
        <w:t xml:space="preserve">15.3.2质量保证金的扣留 </w:t>
      </w:r>
    </w:p>
    <w:p>
      <w:pPr>
        <w:spacing w:line="360" w:lineRule="auto"/>
        <w:ind w:firstLine="420" w:firstLineChars="200"/>
        <w:jc w:val="left"/>
        <w:rPr>
          <w:rFonts w:ascii="宋体" w:hAnsi="宋体"/>
          <w:szCs w:val="21"/>
        </w:rPr>
      </w:pPr>
      <w:r>
        <w:rPr>
          <w:rFonts w:ascii="宋体" w:hAnsi="宋体"/>
          <w:szCs w:val="21"/>
        </w:rPr>
        <w:t>质量保证金的扣留采取以下第种方式：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p>
    <w:p>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p>
    <w:p>
      <w:pPr>
        <w:spacing w:line="360" w:lineRule="auto"/>
        <w:jc w:val="left"/>
        <w:rPr>
          <w:rFonts w:ascii="宋体" w:hAnsi="宋体"/>
          <w:szCs w:val="21"/>
        </w:rPr>
      </w:pPr>
      <w:r>
        <w:rPr>
          <w:rFonts w:ascii="宋体" w:hAnsi="宋体"/>
          <w:kern w:val="0"/>
          <w:szCs w:val="21"/>
        </w:rPr>
        <w:t>。</w:t>
      </w:r>
    </w:p>
    <w:bookmarkEnd w:id="716"/>
    <w:bookmarkEnd w:id="717"/>
    <w:p>
      <w:pPr>
        <w:spacing w:after="120" w:line="360" w:lineRule="auto"/>
        <w:ind w:firstLine="420" w:firstLineChars="200"/>
        <w:rPr>
          <w:rFonts w:ascii="宋体" w:hAnsi="宋体"/>
          <w:szCs w:val="21"/>
        </w:rPr>
      </w:pPr>
      <w:r>
        <w:rPr>
          <w:rFonts w:ascii="宋体" w:hAnsi="宋体"/>
          <w:szCs w:val="21"/>
        </w:rPr>
        <w:t>15.4保修</w:t>
      </w:r>
    </w:p>
    <w:bookmarkEnd w:id="718"/>
    <w:p>
      <w:pPr>
        <w:spacing w:line="360" w:lineRule="auto"/>
        <w:ind w:firstLine="409" w:firstLineChars="195"/>
        <w:jc w:val="left"/>
        <w:rPr>
          <w:rFonts w:ascii="宋体" w:hAnsi="宋体"/>
          <w:szCs w:val="21"/>
        </w:rPr>
      </w:pPr>
      <w:r>
        <w:rPr>
          <w:rFonts w:ascii="宋体" w:hAnsi="宋体"/>
          <w:szCs w:val="21"/>
        </w:rPr>
        <w:t>15.4.1保修责任</w:t>
      </w:r>
    </w:p>
    <w:p>
      <w:pPr>
        <w:spacing w:line="360" w:lineRule="auto"/>
        <w:ind w:firstLine="409" w:firstLineChars="195"/>
        <w:jc w:val="left"/>
        <w:rPr>
          <w:rFonts w:ascii="宋体" w:hAnsi="宋体"/>
          <w:kern w:val="0"/>
          <w:szCs w:val="21"/>
          <w:u w:val="single"/>
        </w:rPr>
      </w:pPr>
      <w:r>
        <w:rPr>
          <w:rFonts w:ascii="宋体" w:hAnsi="宋体"/>
          <w:szCs w:val="21"/>
        </w:rPr>
        <w:t>工程保修期为：</w:t>
      </w:r>
    </w:p>
    <w:p>
      <w:pPr>
        <w:spacing w:line="360" w:lineRule="auto"/>
        <w:jc w:val="left"/>
        <w:rPr>
          <w:rFonts w:ascii="宋体" w:hAnsi="宋体"/>
          <w:kern w:val="0"/>
          <w:szCs w:val="21"/>
        </w:rPr>
      </w:pPr>
      <w:r>
        <w:rPr>
          <w:rFonts w:ascii="宋体" w:hAnsi="宋体"/>
          <w:kern w:val="0"/>
          <w:szCs w:val="21"/>
        </w:rPr>
        <w:t>。</w:t>
      </w:r>
    </w:p>
    <w:p>
      <w:pPr>
        <w:spacing w:line="360" w:lineRule="auto"/>
        <w:ind w:firstLine="409" w:firstLineChars="195"/>
        <w:jc w:val="left"/>
        <w:rPr>
          <w:rFonts w:ascii="宋体" w:hAnsi="宋体"/>
          <w:szCs w:val="21"/>
        </w:rPr>
      </w:pPr>
      <w:r>
        <w:rPr>
          <w:rFonts w:ascii="宋体" w:hAnsi="宋体"/>
          <w:szCs w:val="21"/>
        </w:rPr>
        <w:t>15.4.3修复通知</w:t>
      </w:r>
    </w:p>
    <w:p>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p>
    <w:p>
      <w:pPr>
        <w:spacing w:line="360" w:lineRule="auto"/>
        <w:jc w:val="left"/>
        <w:rPr>
          <w:rFonts w:ascii="宋体" w:hAnsi="宋体"/>
          <w:kern w:val="0"/>
          <w:szCs w:val="21"/>
        </w:rPr>
      </w:pPr>
      <w:r>
        <w:rPr>
          <w:rFonts w:ascii="宋体" w:hAnsi="宋体"/>
          <w:kern w:val="0"/>
          <w:szCs w:val="21"/>
        </w:rPr>
        <w:t>。</w:t>
      </w:r>
    </w:p>
    <w:bookmarkEnd w:id="719"/>
    <w:bookmarkEnd w:id="720"/>
    <w:bookmarkEnd w:id="721"/>
    <w:bookmarkEnd w:id="722"/>
    <w:p>
      <w:pPr>
        <w:pStyle w:val="5"/>
        <w:spacing w:before="120" w:after="120" w:line="360" w:lineRule="auto"/>
        <w:rPr>
          <w:rFonts w:ascii="宋体" w:hAnsi="宋体" w:eastAsia="宋体"/>
          <w:b w:val="0"/>
          <w:sz w:val="21"/>
          <w:szCs w:val="21"/>
        </w:rPr>
      </w:pPr>
      <w:bookmarkStart w:id="745" w:name="_Toc351203648"/>
      <w:bookmarkStart w:id="746" w:name="_Toc280868717"/>
      <w:bookmarkStart w:id="747" w:name="_Toc280868718"/>
      <w:r>
        <w:rPr>
          <w:rFonts w:ascii="宋体" w:hAnsi="宋体" w:eastAsia="宋体"/>
          <w:b w:val="0"/>
          <w:sz w:val="21"/>
          <w:szCs w:val="21"/>
        </w:rPr>
        <w:t>16.违约</w:t>
      </w:r>
      <w:bookmarkEnd w:id="745"/>
    </w:p>
    <w:p>
      <w:pPr>
        <w:spacing w:after="120" w:line="360" w:lineRule="auto"/>
        <w:ind w:firstLine="420" w:firstLineChars="200"/>
        <w:outlineLvl w:val="0"/>
        <w:rPr>
          <w:rFonts w:ascii="宋体" w:hAnsi="宋体"/>
          <w:szCs w:val="21"/>
        </w:rPr>
      </w:pPr>
      <w:r>
        <w:rPr>
          <w:rFonts w:ascii="宋体" w:hAnsi="宋体"/>
          <w:szCs w:val="21"/>
        </w:rPr>
        <w:t>16.发包人违约</w:t>
      </w:r>
    </w:p>
    <w:p>
      <w:pPr>
        <w:spacing w:line="360" w:lineRule="auto"/>
        <w:ind w:firstLine="420" w:firstLineChars="200"/>
        <w:jc w:val="left"/>
        <w:rPr>
          <w:rFonts w:ascii="宋体" w:hAnsi="宋体"/>
          <w:szCs w:val="21"/>
        </w:rPr>
      </w:pPr>
      <w:r>
        <w:rPr>
          <w:rFonts w:ascii="宋体" w:hAnsi="宋体"/>
          <w:szCs w:val="21"/>
        </w:rPr>
        <w:t>16.1.1发包人违约的情形</w:t>
      </w:r>
    </w:p>
    <w:p>
      <w:pPr>
        <w:spacing w:line="360" w:lineRule="auto"/>
        <w:ind w:firstLine="420" w:firstLineChars="200"/>
        <w:jc w:val="left"/>
        <w:rPr>
          <w:rFonts w:ascii="宋体" w:hAnsi="宋体"/>
          <w:kern w:val="0"/>
          <w:szCs w:val="21"/>
          <w:u w:val="single"/>
        </w:rPr>
      </w:pPr>
      <w:r>
        <w:rPr>
          <w:rFonts w:ascii="宋体" w:hAnsi="宋体"/>
          <w:kern w:val="0"/>
          <w:szCs w:val="21"/>
        </w:rPr>
        <w:t>发包人违约的其他情形：</w:t>
      </w:r>
    </w:p>
    <w:p>
      <w:pPr>
        <w:spacing w:line="360" w:lineRule="auto"/>
        <w:ind w:left="1050" w:hanging="1050" w:hangingChars="500"/>
        <w:jc w:val="left"/>
        <w:rPr>
          <w:rFonts w:ascii="宋体" w:hAnsi="宋体"/>
          <w:kern w:val="0"/>
          <w:szCs w:val="21"/>
        </w:rPr>
      </w:pPr>
      <w:r>
        <w:rPr>
          <w:rFonts w:ascii="宋体" w:hAnsi="宋体"/>
          <w:kern w:val="0"/>
          <w:szCs w:val="21"/>
        </w:rPr>
        <w:t>。</w:t>
      </w:r>
    </w:p>
    <w:p>
      <w:pPr>
        <w:spacing w:line="360" w:lineRule="auto"/>
        <w:ind w:left="1050" w:hanging="1050" w:hangingChars="500"/>
        <w:jc w:val="left"/>
        <w:rPr>
          <w:rFonts w:ascii="宋体" w:hAnsi="宋体"/>
          <w:kern w:val="0"/>
          <w:szCs w:val="21"/>
        </w:rPr>
      </w:pPr>
      <w:r>
        <w:rPr>
          <w:rFonts w:ascii="宋体" w:hAnsi="宋体"/>
          <w:kern w:val="0"/>
          <w:szCs w:val="21"/>
        </w:rPr>
        <w:t xml:space="preserve">    16.1.2发包人违约的责任</w:t>
      </w:r>
    </w:p>
    <w:p>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p>
    <w:p>
      <w:pPr>
        <w:spacing w:line="360" w:lineRule="auto"/>
        <w:ind w:firstLine="420" w:firstLineChars="200"/>
        <w:rPr>
          <w:rFonts w:ascii="宋体" w:hAnsi="宋体"/>
          <w:kern w:val="0"/>
          <w:szCs w:val="21"/>
          <w:u w:val="single"/>
        </w:rPr>
      </w:pPr>
      <w:r>
        <w:rPr>
          <w:rFonts w:ascii="宋体" w:hAnsi="宋体"/>
          <w:kern w:val="0"/>
          <w:szCs w:val="21"/>
        </w:rPr>
        <w:t>（</w:t>
      </w:r>
      <w:r>
        <w:rPr>
          <w:rFonts w:hint="eastAsia" w:ascii="宋体" w:hAnsi="宋体"/>
          <w:kern w:val="0"/>
          <w:szCs w:val="21"/>
        </w:rPr>
        <w:t>2</w:t>
      </w:r>
      <w:r>
        <w:rPr>
          <w:rFonts w:ascii="宋体" w:hAnsi="宋体"/>
          <w:kern w:val="0"/>
          <w:szCs w:val="21"/>
        </w:rPr>
        <w:t>）因发包人原因未能按合同约定支付合同价款的违约责任：。</w:t>
      </w:r>
    </w:p>
    <w:p>
      <w:pPr>
        <w:spacing w:line="360" w:lineRule="auto"/>
        <w:ind w:firstLine="420" w:firstLineChars="200"/>
        <w:jc w:val="left"/>
        <w:rPr>
          <w:rFonts w:ascii="宋体" w:hAnsi="宋体"/>
          <w:kern w:val="0"/>
          <w:szCs w:val="21"/>
          <w:u w:val="single"/>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p>
    <w:p>
      <w:pPr>
        <w:spacing w:line="360" w:lineRule="auto"/>
        <w:jc w:val="left"/>
        <w:rPr>
          <w:rFonts w:ascii="宋体" w:hAnsi="宋体"/>
          <w:kern w:val="0"/>
          <w:szCs w:val="21"/>
        </w:rPr>
      </w:pP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p>
    <w:p>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p>
    <w:p>
      <w:pPr>
        <w:spacing w:line="360" w:lineRule="auto"/>
        <w:jc w:val="left"/>
        <w:rPr>
          <w:rFonts w:ascii="宋体" w:hAnsi="宋体"/>
          <w:kern w:val="0"/>
          <w:szCs w:val="21"/>
        </w:rPr>
      </w:pPr>
      <w:r>
        <w:rPr>
          <w:rFonts w:ascii="宋体" w:hAnsi="宋体"/>
          <w:kern w:val="0"/>
          <w:szCs w:val="21"/>
        </w:rPr>
        <w:t>。</w:t>
      </w:r>
    </w:p>
    <w:p>
      <w:pPr>
        <w:numPr>
          <w:ilvl w:val="0"/>
          <w:numId w:val="4"/>
        </w:numPr>
        <w:spacing w:line="360" w:lineRule="auto"/>
        <w:ind w:firstLine="420" w:firstLineChars="200"/>
        <w:jc w:val="left"/>
        <w:rPr>
          <w:rFonts w:ascii="宋体" w:hAnsi="宋体"/>
          <w:kern w:val="0"/>
          <w:szCs w:val="21"/>
        </w:rPr>
      </w:pPr>
      <w:r>
        <w:rPr>
          <w:rFonts w:ascii="宋体" w:hAnsi="宋体"/>
          <w:kern w:val="0"/>
          <w:szCs w:val="21"/>
        </w:rPr>
        <w:t>发包人无正当理由没有在约定期限内发出复工指示，导致承包人无法复工的违约责任：。</w:t>
      </w:r>
    </w:p>
    <w:p>
      <w:pPr>
        <w:numPr>
          <w:ilvl w:val="0"/>
          <w:numId w:val="4"/>
        </w:numPr>
        <w:spacing w:line="360" w:lineRule="auto"/>
        <w:ind w:firstLine="420" w:firstLineChars="200"/>
        <w:jc w:val="left"/>
        <w:rPr>
          <w:rFonts w:ascii="宋体" w:hAnsi="宋体"/>
          <w:kern w:val="0"/>
          <w:szCs w:val="21"/>
        </w:rPr>
      </w:pPr>
      <w:r>
        <w:rPr>
          <w:rFonts w:hint="eastAsia" w:ascii="宋体" w:hAnsi="宋体"/>
          <w:kern w:val="0"/>
          <w:szCs w:val="21"/>
        </w:rPr>
        <w:t>发包人未执行政府行政管理部门关于农民工工资支付的各项制度或未能按合同约定支付人工费的</w:t>
      </w:r>
      <w:r>
        <w:rPr>
          <w:rFonts w:ascii="宋体" w:hAnsi="宋体"/>
          <w:kern w:val="0"/>
          <w:szCs w:val="21"/>
        </w:rPr>
        <w:t>违约责任：。</w:t>
      </w:r>
    </w:p>
    <w:p>
      <w:pPr>
        <w:spacing w:line="360" w:lineRule="auto"/>
        <w:jc w:val="left"/>
        <w:rPr>
          <w:rFonts w:ascii="宋体" w:hAnsi="宋体"/>
          <w:kern w:val="0"/>
          <w:szCs w:val="21"/>
          <w:u w:val="single"/>
        </w:rPr>
      </w:pP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其他：</w:t>
      </w: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szCs w:val="21"/>
        </w:rPr>
        <w:t>16.1.3因发包人违约解除合同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约定暂停施工满天后发包人仍不纠正其违约行为并致使合同目的不能实现的，承包人有权解除合同。</w:t>
      </w:r>
    </w:p>
    <w:p>
      <w:pPr>
        <w:spacing w:after="120" w:line="360" w:lineRule="auto"/>
        <w:ind w:firstLine="420" w:firstLineChars="200"/>
        <w:outlineLvl w:val="0"/>
        <w:rPr>
          <w:rFonts w:ascii="宋体" w:hAnsi="宋体"/>
          <w:szCs w:val="21"/>
        </w:rPr>
      </w:pPr>
      <w:r>
        <w:rPr>
          <w:rFonts w:ascii="宋体" w:hAnsi="宋体"/>
          <w:szCs w:val="21"/>
        </w:rPr>
        <w:t>16.2承包人违约</w:t>
      </w:r>
    </w:p>
    <w:p>
      <w:pPr>
        <w:spacing w:line="360" w:lineRule="auto"/>
        <w:ind w:firstLine="420" w:firstLineChars="200"/>
        <w:jc w:val="left"/>
        <w:rPr>
          <w:rFonts w:ascii="宋体" w:hAnsi="宋体"/>
          <w:kern w:val="0"/>
          <w:szCs w:val="21"/>
        </w:rPr>
      </w:pPr>
      <w:r>
        <w:rPr>
          <w:rFonts w:ascii="宋体" w:hAnsi="宋体"/>
          <w:kern w:val="0"/>
          <w:szCs w:val="21"/>
        </w:rPr>
        <w:t>16.2.1承包人违约的情形</w:t>
      </w:r>
    </w:p>
    <w:p>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p>
    <w:p>
      <w:pPr>
        <w:spacing w:line="360" w:lineRule="auto"/>
        <w:jc w:val="left"/>
        <w:rPr>
          <w:rFonts w:ascii="宋体" w:hAnsi="宋体"/>
          <w:kern w:val="0"/>
          <w:szCs w:val="21"/>
        </w:rPr>
      </w:pP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16.2.2承包人违约的责任</w:t>
      </w:r>
    </w:p>
    <w:p>
      <w:pPr>
        <w:spacing w:line="360" w:lineRule="auto"/>
        <w:ind w:firstLine="420" w:firstLineChars="200"/>
        <w:jc w:val="left"/>
        <w:rPr>
          <w:rFonts w:ascii="宋体" w:hAnsi="宋体"/>
          <w:kern w:val="0"/>
          <w:szCs w:val="21"/>
          <w:u w:val="single"/>
        </w:rPr>
      </w:pPr>
      <w:r>
        <w:rPr>
          <w:rFonts w:ascii="宋体" w:hAnsi="宋体"/>
          <w:kern w:val="0"/>
          <w:szCs w:val="21"/>
        </w:rPr>
        <w:t>承包人违约责任的承担方式和计算方法：</w:t>
      </w:r>
    </w:p>
    <w:p>
      <w:pPr>
        <w:spacing w:line="360" w:lineRule="auto"/>
        <w:ind w:left="1050" w:hanging="1050" w:hangingChars="500"/>
        <w:jc w:val="left"/>
        <w:rPr>
          <w:rFonts w:ascii="宋体" w:hAnsi="宋体"/>
          <w:kern w:val="0"/>
          <w:szCs w:val="21"/>
          <w:u w:val="single"/>
        </w:rPr>
      </w:pP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szCs w:val="21"/>
        </w:rPr>
        <w:t>16.2.3因承包人违约解除合同</w:t>
      </w:r>
    </w:p>
    <w:p>
      <w:pPr>
        <w:spacing w:before="120" w:after="120" w:line="360" w:lineRule="auto"/>
        <w:ind w:firstLine="420" w:firstLineChars="200"/>
        <w:rPr>
          <w:rFonts w:ascii="宋体" w:hAnsi="宋体"/>
          <w:kern w:val="0"/>
          <w:szCs w:val="21"/>
          <w:u w:val="single"/>
        </w:rPr>
      </w:pPr>
      <w:r>
        <w:rPr>
          <w:rFonts w:ascii="宋体" w:hAnsi="宋体"/>
          <w:kern w:val="0"/>
          <w:szCs w:val="21"/>
        </w:rPr>
        <w:t>关于承包人违约解除合同的特别约定：</w:t>
      </w:r>
    </w:p>
    <w:p>
      <w:pPr>
        <w:spacing w:before="120" w:after="120" w:line="360" w:lineRule="auto"/>
        <w:rPr>
          <w:rFonts w:ascii="宋体" w:hAnsi="宋体"/>
          <w:kern w:val="0"/>
          <w:szCs w:val="21"/>
        </w:rPr>
      </w:pPr>
      <w:r>
        <w:rPr>
          <w:rFonts w:ascii="宋体" w:hAnsi="宋体"/>
          <w:kern w:val="0"/>
          <w:szCs w:val="21"/>
        </w:rPr>
        <w:t>。</w:t>
      </w:r>
    </w:p>
    <w:p>
      <w:pPr>
        <w:spacing w:before="120" w:after="120" w:line="360" w:lineRule="auto"/>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ascii="宋体" w:hAnsi="宋体"/>
          <w:kern w:val="0"/>
          <w:szCs w:val="21"/>
        </w:rPr>
        <w:t>。</w:t>
      </w:r>
    </w:p>
    <w:p>
      <w:pPr>
        <w:pStyle w:val="5"/>
        <w:spacing w:before="120" w:after="120" w:line="360" w:lineRule="auto"/>
        <w:rPr>
          <w:rFonts w:ascii="宋体" w:hAnsi="宋体" w:eastAsia="宋体"/>
          <w:b w:val="0"/>
          <w:sz w:val="21"/>
          <w:szCs w:val="21"/>
        </w:rPr>
      </w:pPr>
      <w:bookmarkStart w:id="748" w:name="_Toc351203649"/>
      <w:r>
        <w:rPr>
          <w:rFonts w:ascii="宋体" w:hAnsi="宋体" w:eastAsia="宋体"/>
          <w:b w:val="0"/>
          <w:sz w:val="21"/>
          <w:szCs w:val="21"/>
        </w:rPr>
        <w:t>17.不可抗力</w:t>
      </w:r>
      <w:bookmarkEnd w:id="746"/>
      <w:bookmarkEnd w:id="748"/>
    </w:p>
    <w:p>
      <w:pPr>
        <w:spacing w:after="120" w:line="360" w:lineRule="auto"/>
        <w:ind w:firstLine="420" w:firstLineChars="200"/>
        <w:rPr>
          <w:rFonts w:ascii="宋体" w:hAnsi="宋体"/>
          <w:szCs w:val="21"/>
        </w:rPr>
      </w:pPr>
      <w:r>
        <w:rPr>
          <w:rFonts w:ascii="宋体" w:hAnsi="宋体"/>
          <w:szCs w:val="21"/>
        </w:rPr>
        <w:t>17.1不可抗力的确认</w:t>
      </w:r>
    </w:p>
    <w:p>
      <w:pPr>
        <w:spacing w:line="360" w:lineRule="auto"/>
        <w:ind w:firstLine="420" w:firstLineChars="200"/>
        <w:jc w:val="left"/>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17.4因不可抗力解除合同</w:t>
      </w:r>
    </w:p>
    <w:p>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pPr>
        <w:pStyle w:val="5"/>
        <w:spacing w:before="120" w:after="120" w:line="360" w:lineRule="auto"/>
        <w:rPr>
          <w:rFonts w:ascii="宋体" w:hAnsi="宋体" w:eastAsia="宋体"/>
          <w:b w:val="0"/>
          <w:sz w:val="21"/>
          <w:szCs w:val="21"/>
        </w:rPr>
      </w:pPr>
      <w:bookmarkStart w:id="749" w:name="_Toc351203650"/>
      <w:r>
        <w:rPr>
          <w:rFonts w:ascii="宋体" w:hAnsi="宋体" w:eastAsia="宋体"/>
          <w:b w:val="0"/>
          <w:sz w:val="21"/>
          <w:szCs w:val="21"/>
        </w:rPr>
        <w:t>18.保险</w:t>
      </w:r>
      <w:bookmarkEnd w:id="749"/>
    </w:p>
    <w:bookmarkEnd w:id="747"/>
    <w:p>
      <w:pPr>
        <w:spacing w:after="120" w:line="360" w:lineRule="auto"/>
        <w:ind w:firstLine="420" w:firstLineChars="200"/>
        <w:rPr>
          <w:rFonts w:ascii="宋体" w:hAnsi="宋体"/>
          <w:szCs w:val="21"/>
        </w:rPr>
      </w:pPr>
      <w:r>
        <w:rPr>
          <w:rFonts w:ascii="宋体" w:hAnsi="宋体"/>
          <w:szCs w:val="21"/>
        </w:rPr>
        <w:t>18.1工程保险</w:t>
      </w:r>
    </w:p>
    <w:p>
      <w:pPr>
        <w:spacing w:line="360" w:lineRule="auto"/>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18.3其他保险</w:t>
      </w:r>
    </w:p>
    <w:p>
      <w:pPr>
        <w:spacing w:line="360" w:lineRule="auto"/>
        <w:ind w:firstLine="420" w:firstLineChars="200"/>
        <w:jc w:val="left"/>
        <w:rPr>
          <w:rFonts w:ascii="宋体" w:hAnsi="宋体"/>
          <w:kern w:val="0"/>
          <w:szCs w:val="21"/>
        </w:rPr>
      </w:pPr>
      <w:r>
        <w:rPr>
          <w:rFonts w:ascii="宋体" w:hAnsi="宋体"/>
          <w:szCs w:val="21"/>
        </w:rPr>
        <w:t>关于其他保险的约定：</w:t>
      </w:r>
      <w:r>
        <w:rPr>
          <w:rFonts w:ascii="宋体" w:hAnsi="宋体"/>
          <w:kern w:val="0"/>
          <w:szCs w:val="21"/>
        </w:rPr>
        <w:t>。</w:t>
      </w:r>
    </w:p>
    <w:p>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p>
    <w:p>
      <w:pPr>
        <w:spacing w:line="360" w:lineRule="auto"/>
        <w:jc w:val="left"/>
        <w:rPr>
          <w:rFonts w:ascii="宋体" w:hAnsi="宋体"/>
          <w:kern w:val="0"/>
          <w:szCs w:val="21"/>
        </w:rPr>
      </w:pP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18.7通知义务</w:t>
      </w:r>
    </w:p>
    <w:p>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p>
    <w:p>
      <w:pPr>
        <w:spacing w:line="360" w:lineRule="auto"/>
        <w:jc w:val="left"/>
        <w:rPr>
          <w:rFonts w:ascii="宋体" w:hAnsi="宋体"/>
          <w:szCs w:val="21"/>
        </w:rPr>
      </w:pPr>
      <w:r>
        <w:rPr>
          <w:rFonts w:ascii="宋体" w:hAnsi="宋体"/>
          <w:szCs w:val="21"/>
        </w:rPr>
        <w:t>。</w:t>
      </w:r>
    </w:p>
    <w:bookmarkEnd w:id="723"/>
    <w:bookmarkEnd w:id="724"/>
    <w:bookmarkEnd w:id="725"/>
    <w:bookmarkEnd w:id="726"/>
    <w:bookmarkEnd w:id="727"/>
    <w:bookmarkEnd w:id="728"/>
    <w:bookmarkEnd w:id="729"/>
    <w:bookmarkEnd w:id="730"/>
    <w:bookmarkEnd w:id="731"/>
    <w:bookmarkEnd w:id="732"/>
    <w:bookmarkEnd w:id="733"/>
    <w:bookmarkEnd w:id="734"/>
    <w:p>
      <w:pPr>
        <w:pStyle w:val="5"/>
        <w:spacing w:before="120" w:after="120" w:line="360" w:lineRule="auto"/>
        <w:rPr>
          <w:rFonts w:ascii="宋体" w:hAnsi="宋体" w:eastAsia="宋体"/>
          <w:b w:val="0"/>
          <w:sz w:val="21"/>
          <w:szCs w:val="21"/>
        </w:rPr>
      </w:pPr>
      <w:bookmarkStart w:id="750" w:name="_Toc351203651"/>
      <w:r>
        <w:rPr>
          <w:rFonts w:ascii="宋体" w:hAnsi="宋体" w:eastAsia="宋体"/>
          <w:b w:val="0"/>
          <w:sz w:val="21"/>
          <w:szCs w:val="21"/>
        </w:rPr>
        <w:t>20.争议解决</w:t>
      </w:r>
      <w:bookmarkEnd w:id="750"/>
    </w:p>
    <w:bookmarkEnd w:id="735"/>
    <w:bookmarkEnd w:id="736"/>
    <w:p>
      <w:pPr>
        <w:spacing w:after="120" w:line="360" w:lineRule="auto"/>
        <w:ind w:firstLine="420" w:firstLineChars="200"/>
        <w:outlineLvl w:val="0"/>
        <w:rPr>
          <w:rFonts w:ascii="宋体" w:hAnsi="宋体"/>
          <w:szCs w:val="21"/>
        </w:rPr>
      </w:pPr>
      <w:r>
        <w:rPr>
          <w:rFonts w:ascii="宋体" w:hAnsi="宋体"/>
          <w:szCs w:val="21"/>
        </w:rPr>
        <w:t>20.3争</w:t>
      </w:r>
      <w:bookmarkEnd w:id="737"/>
      <w:r>
        <w:rPr>
          <w:rFonts w:ascii="宋体" w:hAnsi="宋体"/>
          <w:szCs w:val="21"/>
        </w:rPr>
        <w:t>议评审</w:t>
      </w:r>
    </w:p>
    <w:p>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w:t>
      </w:r>
      <w:r>
        <w:rPr>
          <w:rFonts w:hint="eastAsia" w:ascii="宋体" w:hAnsi="宋体"/>
          <w:szCs w:val="21"/>
        </w:rPr>
        <w:t>定：</w:t>
      </w:r>
    </w:p>
    <w:p>
      <w:pPr>
        <w:spacing w:line="360" w:lineRule="auto"/>
        <w:jc w:val="left"/>
        <w:rPr>
          <w:rFonts w:ascii="宋体" w:hAnsi="宋体"/>
          <w:szCs w:val="21"/>
        </w:rPr>
      </w:pPr>
      <w:r>
        <w:rPr>
          <w:rFonts w:hint="eastAsia" w:ascii="宋体" w:hAnsi="宋体"/>
          <w:szCs w:val="21"/>
        </w:rPr>
        <w:t xml:space="preserve">。  </w:t>
      </w:r>
    </w:p>
    <w:p>
      <w:pPr>
        <w:spacing w:line="360" w:lineRule="auto"/>
        <w:ind w:firstLine="420" w:firstLineChars="200"/>
        <w:jc w:val="left"/>
        <w:outlineLvl w:val="0"/>
        <w:rPr>
          <w:rFonts w:ascii="宋体" w:hAnsi="宋体"/>
          <w:szCs w:val="21"/>
        </w:rPr>
      </w:pPr>
      <w:r>
        <w:rPr>
          <w:rFonts w:ascii="宋体" w:hAnsi="宋体"/>
          <w:szCs w:val="21"/>
        </w:rPr>
        <w:t>20.3.1争议评审小组的确定</w:t>
      </w:r>
    </w:p>
    <w:p>
      <w:pPr>
        <w:spacing w:line="360" w:lineRule="auto"/>
        <w:ind w:firstLine="420" w:firstLineChars="200"/>
        <w:jc w:val="left"/>
        <w:rPr>
          <w:rFonts w:ascii="宋体" w:hAnsi="宋体"/>
          <w:szCs w:val="21"/>
          <w:u w:val="single"/>
        </w:rPr>
      </w:pPr>
      <w:r>
        <w:rPr>
          <w:rFonts w:ascii="宋体" w:hAnsi="宋体"/>
          <w:szCs w:val="21"/>
        </w:rPr>
        <w:t>争议评审小组成员的确定：。</w:t>
      </w:r>
    </w:p>
    <w:p>
      <w:pPr>
        <w:spacing w:line="360" w:lineRule="auto"/>
        <w:ind w:firstLine="420" w:firstLineChars="200"/>
        <w:jc w:val="left"/>
        <w:rPr>
          <w:rFonts w:ascii="宋体" w:hAnsi="宋体"/>
          <w:szCs w:val="21"/>
        </w:rPr>
      </w:pPr>
      <w:r>
        <w:rPr>
          <w:rFonts w:ascii="宋体" w:hAnsi="宋体"/>
          <w:szCs w:val="21"/>
        </w:rPr>
        <w:t>选定争议评审员的期限：。</w:t>
      </w:r>
    </w:p>
    <w:p>
      <w:pPr>
        <w:spacing w:line="360" w:lineRule="auto"/>
        <w:ind w:firstLine="420" w:firstLineChars="200"/>
        <w:jc w:val="left"/>
        <w:rPr>
          <w:rFonts w:ascii="宋体" w:hAnsi="宋体"/>
          <w:szCs w:val="21"/>
        </w:rPr>
      </w:pPr>
      <w:r>
        <w:rPr>
          <w:rFonts w:ascii="宋体" w:hAnsi="宋体"/>
          <w:szCs w:val="21"/>
        </w:rPr>
        <w:t>争议评审小组成员的报酬承担方式：。</w:t>
      </w:r>
    </w:p>
    <w:p>
      <w:pPr>
        <w:spacing w:line="360" w:lineRule="auto"/>
        <w:ind w:firstLine="420" w:firstLineChars="200"/>
        <w:jc w:val="left"/>
        <w:rPr>
          <w:rFonts w:ascii="宋体" w:hAnsi="宋体"/>
          <w:szCs w:val="21"/>
        </w:rPr>
      </w:pPr>
      <w:r>
        <w:rPr>
          <w:rFonts w:ascii="宋体" w:hAnsi="宋体"/>
          <w:szCs w:val="21"/>
        </w:rPr>
        <w:t>其他事项的约定：。</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20.3.2争议评审小组的决定</w:t>
      </w:r>
    </w:p>
    <w:p>
      <w:pPr>
        <w:spacing w:line="360" w:lineRule="auto"/>
        <w:ind w:firstLine="420" w:firstLineChars="200"/>
        <w:jc w:val="left"/>
        <w:rPr>
          <w:rFonts w:ascii="宋体" w:hAnsi="宋体"/>
          <w:szCs w:val="21"/>
        </w:rPr>
      </w:pPr>
      <w:r>
        <w:rPr>
          <w:rFonts w:ascii="宋体" w:hAnsi="宋体"/>
          <w:szCs w:val="21"/>
        </w:rPr>
        <w:t>合同当事人关于本项的约定：。</w:t>
      </w:r>
    </w:p>
    <w:p>
      <w:pPr>
        <w:spacing w:after="120" w:line="360" w:lineRule="auto"/>
        <w:ind w:firstLine="420" w:firstLineChars="200"/>
        <w:outlineLvl w:val="0"/>
        <w:rPr>
          <w:rFonts w:ascii="宋体" w:hAnsi="宋体"/>
          <w:szCs w:val="21"/>
        </w:rPr>
      </w:pPr>
      <w:r>
        <w:rPr>
          <w:rFonts w:ascii="宋体" w:hAnsi="宋体"/>
          <w:szCs w:val="21"/>
        </w:rPr>
        <w:t>20.4仲裁或诉讼</w:t>
      </w:r>
      <w:bookmarkEnd w:id="738"/>
    </w:p>
    <w:p>
      <w:pPr>
        <w:spacing w:after="120" w:line="360" w:lineRule="auto"/>
        <w:ind w:firstLine="420" w:firstLineChars="200"/>
        <w:rPr>
          <w:rFonts w:ascii="宋体" w:hAnsi="宋体"/>
          <w:szCs w:val="21"/>
        </w:rPr>
      </w:pPr>
      <w:r>
        <w:rPr>
          <w:rFonts w:ascii="宋体" w:hAnsi="宋体"/>
          <w:szCs w:val="21"/>
        </w:rPr>
        <w:t>因合同及合同有关事项发生的争议，按下列第种方式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（1）向仲裁委员会申请仲裁；</w:t>
      </w:r>
    </w:p>
    <w:p>
      <w:pPr>
        <w:rPr>
          <w:rFonts w:asciiTheme="minorEastAsia" w:hAnsiTheme="minorEastAsia" w:eastAsiaTheme="minorEastAsia"/>
          <w:szCs w:val="21"/>
        </w:rPr>
      </w:pPr>
      <w:r>
        <w:rPr>
          <w:rFonts w:ascii="宋体" w:hAnsi="宋体"/>
          <w:szCs w:val="21"/>
        </w:rPr>
        <w:t>（2）向人民法院起诉。</w:t>
      </w:r>
      <w:bookmarkEnd w:id="739"/>
      <w:bookmarkEnd w:id="740"/>
      <w:bookmarkEnd w:id="741"/>
      <w:bookmarkEnd w:id="742"/>
      <w:bookmarkEnd w:id="743"/>
      <w:bookmarkEnd w:id="744"/>
    </w:p>
    <w:p>
      <w:pPr>
        <w:rPr>
          <w:rFonts w:ascii="宋体" w:hAnsi="宋体"/>
          <w:szCs w:val="21"/>
        </w:rPr>
      </w:pPr>
      <w:r>
        <w:rPr>
          <w:rFonts w:hint="eastAsia" w:ascii="宋体" w:hAnsi="宋体"/>
          <w:szCs w:val="21"/>
        </w:rPr>
        <w:t>21、补充条款</w:t>
      </w:r>
    </w:p>
    <w:p>
      <w:pPr>
        <w:ind w:firstLine="420" w:firstLineChars="200"/>
      </w:pPr>
      <w:r>
        <w:rPr>
          <w:rFonts w:hint="eastAsia"/>
        </w:rPr>
        <w:t>总承包单位应保证其及其分包单位及时发放农民工工资，总承包单位及其分包单位如发生拖欠农民工工资的情况（以建设行政主管部门认定的为准），建设单位可将下期应支付工程款优先用于支付总承包单位或其分包单位拖欠农民工工资，该款项（用于支付总承包单位或其分包单位拖欠农民工工资）同额抵作已支付的工程款。如上述款项无法足额支付拖欠农民工工资，不足部分在总承包单位交纳的履约保证金中扣除，并同额抵作为应支付的工程款。</w:t>
      </w:r>
      <w:r>
        <w:rPr>
          <w:rFonts w:hint="eastAsia"/>
          <w:color w:val="FF0000"/>
        </w:rPr>
        <w:t>（适用于施工总承包招标）</w:t>
      </w:r>
    </w:p>
    <w:p>
      <w:pPr>
        <w:adjustRightInd w:val="0"/>
        <w:snapToGrid w:val="0"/>
        <w:spacing w:line="288" w:lineRule="auto"/>
        <w:ind w:firstLine="420" w:firstLineChars="200"/>
        <w:rPr>
          <w:rFonts w:ascii="宋体" w:hAnsi="宋体"/>
          <w:bCs/>
          <w:color w:val="000000"/>
          <w:sz w:val="24"/>
        </w:rPr>
      </w:pPr>
      <w:r>
        <w:rPr>
          <w:rFonts w:hint="eastAsia"/>
        </w:rPr>
        <w:t>施工单位应保证及时发放农民工工资，施工单位如发生拖欠农民工工资的情况（以建设行政主管部门认定的为准），建设单位可将下期应支付工程款优先用于支付施工单位拖欠农民工工资，该款项（用于支付施工单位拖欠农民工工资）同额抵作已支付的工程款。如上述款项无法足额支付拖欠农民工工资，不足部分在施工单位交纳的履约保证金中扣除，并同额抵作为应支付的工程款。</w:t>
      </w:r>
      <w:r>
        <w:rPr>
          <w:rFonts w:hint="eastAsia"/>
          <w:color w:val="FF0000"/>
        </w:rPr>
        <w:t>（适用于专业工程招标）</w:t>
      </w:r>
    </w:p>
    <w:p>
      <w:pPr>
        <w:ind w:firstLine="420" w:firstLineChars="200"/>
        <w:jc w:val="left"/>
        <w:rPr>
          <w:rFonts w:ascii="宋体" w:hAnsi="宋体"/>
          <w:color w:val="000000"/>
          <w:szCs w:val="21"/>
        </w:rPr>
      </w:pPr>
    </w:p>
    <w:p>
      <w:pPr>
        <w:jc w:val="left"/>
        <w:rPr>
          <w:rFonts w:ascii="宋体" w:hAnsi="宋体"/>
          <w:b/>
          <w:color w:val="000000"/>
          <w:szCs w:val="21"/>
        </w:rPr>
      </w:pPr>
      <w:r>
        <w:rPr>
          <w:rFonts w:ascii="宋体" w:hAnsi="宋体"/>
          <w:color w:val="000000"/>
          <w:szCs w:val="21"/>
        </w:rPr>
        <w:br w:type="page"/>
      </w:r>
      <w:bookmarkStart w:id="751" w:name="_Toc351203652"/>
      <w:r>
        <w:rPr>
          <w:rFonts w:ascii="宋体" w:hAnsi="宋体"/>
          <w:b/>
          <w:color w:val="000000"/>
          <w:szCs w:val="21"/>
        </w:rPr>
        <w:t>附件</w:t>
      </w:r>
      <w:bookmarkEnd w:id="751"/>
    </w:p>
    <w:p>
      <w:pPr>
        <w:jc w:val="left"/>
        <w:rPr>
          <w:rFonts w:ascii="宋体" w:hAnsi="宋体"/>
          <w:color w:val="000000"/>
          <w:szCs w:val="21"/>
        </w:rPr>
      </w:pPr>
    </w:p>
    <w:p>
      <w:pPr>
        <w:jc w:val="left"/>
        <w:rPr>
          <w:rFonts w:ascii="宋体" w:hAnsi="宋体"/>
          <w:color w:val="000000"/>
          <w:szCs w:val="21"/>
        </w:rPr>
      </w:pPr>
      <w:r>
        <w:rPr>
          <w:rFonts w:ascii="宋体" w:hAnsi="宋体"/>
          <w:color w:val="000000"/>
          <w:szCs w:val="21"/>
        </w:rPr>
        <w:t>附件1：承包人承揽工程项目一览表</w:t>
      </w:r>
    </w:p>
    <w:p>
      <w:pPr>
        <w:jc w:val="left"/>
        <w:rPr>
          <w:rFonts w:ascii="宋体" w:hAnsi="宋体"/>
          <w:color w:val="000000"/>
          <w:szCs w:val="21"/>
        </w:rPr>
      </w:pPr>
      <w:r>
        <w:rPr>
          <w:rFonts w:ascii="宋体" w:hAnsi="宋体"/>
          <w:color w:val="000000"/>
          <w:szCs w:val="21"/>
        </w:rPr>
        <w:t>附件2：发包人供应材料设备一览表</w:t>
      </w:r>
    </w:p>
    <w:p>
      <w:pPr>
        <w:jc w:val="left"/>
        <w:rPr>
          <w:rFonts w:ascii="宋体" w:hAnsi="宋体"/>
          <w:color w:val="000000"/>
          <w:szCs w:val="21"/>
        </w:rPr>
      </w:pPr>
      <w:r>
        <w:rPr>
          <w:rFonts w:ascii="宋体" w:hAnsi="宋体"/>
          <w:color w:val="000000"/>
          <w:szCs w:val="21"/>
        </w:rPr>
        <w:t>附件3：工程质量保修书</w:t>
      </w:r>
    </w:p>
    <w:p>
      <w:pPr>
        <w:jc w:val="left"/>
        <w:rPr>
          <w:rFonts w:ascii="宋体" w:hAnsi="宋体"/>
          <w:color w:val="000000"/>
          <w:szCs w:val="21"/>
        </w:rPr>
      </w:pPr>
      <w:r>
        <w:rPr>
          <w:rFonts w:ascii="宋体" w:hAnsi="宋体"/>
          <w:color w:val="000000"/>
          <w:szCs w:val="21"/>
        </w:rPr>
        <w:t>附件4：主要建设工程文件目录</w:t>
      </w:r>
    </w:p>
    <w:p>
      <w:pPr>
        <w:jc w:val="left"/>
        <w:rPr>
          <w:rFonts w:ascii="宋体" w:hAnsi="宋体"/>
          <w:color w:val="000000"/>
          <w:szCs w:val="21"/>
        </w:rPr>
      </w:pPr>
      <w:r>
        <w:rPr>
          <w:rFonts w:ascii="宋体" w:hAnsi="宋体"/>
          <w:color w:val="000000"/>
          <w:szCs w:val="21"/>
        </w:rPr>
        <w:t>附件5：承包人用于本工程施工的机械设备表</w:t>
      </w:r>
    </w:p>
    <w:p>
      <w:pPr>
        <w:jc w:val="left"/>
        <w:rPr>
          <w:rFonts w:ascii="宋体" w:hAnsi="宋体"/>
          <w:color w:val="000000"/>
          <w:szCs w:val="21"/>
        </w:rPr>
      </w:pPr>
      <w:r>
        <w:rPr>
          <w:rFonts w:ascii="宋体" w:hAnsi="宋体"/>
          <w:color w:val="000000"/>
          <w:szCs w:val="21"/>
        </w:rPr>
        <w:t>附件6：承包人主要施工管理人员表</w:t>
      </w:r>
    </w:p>
    <w:p>
      <w:pPr>
        <w:jc w:val="left"/>
        <w:rPr>
          <w:rFonts w:ascii="宋体" w:hAnsi="宋体"/>
          <w:color w:val="000000"/>
          <w:szCs w:val="21"/>
        </w:rPr>
      </w:pPr>
      <w:r>
        <w:rPr>
          <w:rFonts w:ascii="宋体" w:hAnsi="宋体"/>
          <w:color w:val="000000"/>
          <w:szCs w:val="21"/>
        </w:rPr>
        <w:t>附件7：分包人主要施工管理人员表</w:t>
      </w:r>
    </w:p>
    <w:p>
      <w:pPr>
        <w:jc w:val="left"/>
        <w:rPr>
          <w:rFonts w:ascii="宋体" w:hAnsi="宋体"/>
          <w:color w:val="000000"/>
          <w:szCs w:val="21"/>
        </w:rPr>
      </w:pPr>
      <w:r>
        <w:rPr>
          <w:rFonts w:ascii="宋体" w:hAnsi="宋体"/>
          <w:color w:val="000000"/>
          <w:szCs w:val="21"/>
        </w:rPr>
        <w:t>附件8：履约担保格式</w:t>
      </w:r>
    </w:p>
    <w:p>
      <w:pPr>
        <w:jc w:val="left"/>
        <w:rPr>
          <w:rFonts w:ascii="宋体" w:hAnsi="宋体"/>
          <w:color w:val="000000"/>
          <w:szCs w:val="21"/>
        </w:rPr>
      </w:pPr>
      <w:r>
        <w:rPr>
          <w:rFonts w:ascii="宋体" w:hAnsi="宋体"/>
          <w:color w:val="000000"/>
          <w:szCs w:val="21"/>
        </w:rPr>
        <w:t>附件9：预付款担保格式</w:t>
      </w:r>
    </w:p>
    <w:p>
      <w:pPr>
        <w:jc w:val="left"/>
        <w:rPr>
          <w:rFonts w:ascii="宋体" w:hAnsi="宋体"/>
          <w:color w:val="000000"/>
          <w:szCs w:val="21"/>
        </w:rPr>
      </w:pPr>
      <w:r>
        <w:rPr>
          <w:rFonts w:ascii="宋体" w:hAnsi="宋体"/>
          <w:color w:val="000000"/>
          <w:szCs w:val="21"/>
        </w:rPr>
        <w:t>附件10：支付担保格式</w:t>
      </w:r>
    </w:p>
    <w:p>
      <w:pPr>
        <w:jc w:val="left"/>
        <w:rPr>
          <w:rFonts w:ascii="宋体" w:hAnsi="宋体"/>
          <w:color w:val="000000"/>
          <w:szCs w:val="21"/>
        </w:rPr>
      </w:pPr>
      <w:r>
        <w:rPr>
          <w:rFonts w:ascii="宋体" w:hAnsi="宋体"/>
          <w:color w:val="000000"/>
          <w:szCs w:val="21"/>
        </w:rPr>
        <w:t>附件11：暂估价一览</w:t>
      </w: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FF0000"/>
          <w:szCs w:val="21"/>
        </w:rPr>
        <w:sectPr>
          <w:pgSz w:w="11906" w:h="16838"/>
          <w:pgMar w:top="1418" w:right="1274" w:bottom="1418" w:left="1531" w:header="851" w:footer="992" w:gutter="0"/>
          <w:pgNumType w:start="1"/>
          <w:cols w:space="720" w:num="1"/>
          <w:titlePg/>
          <w:docGrid w:type="lines" w:linePitch="312" w:charSpace="0"/>
        </w:sectPr>
      </w:pPr>
      <w:r>
        <w:rPr>
          <w:rFonts w:hint="eastAsia" w:ascii="宋体" w:hAnsi="宋体"/>
          <w:color w:val="FF0000"/>
          <w:szCs w:val="21"/>
        </w:rPr>
        <w:t>（</w:t>
      </w:r>
      <w:r>
        <w:rPr>
          <w:rFonts w:hint="eastAsia" w:ascii="宋体" w:hAnsi="宋体"/>
          <w:b/>
          <w:color w:val="FF0000"/>
          <w:szCs w:val="21"/>
        </w:rPr>
        <w:t>上述附件具体选用参见《山东省建设工程施工合同》（示范文本）（SDF-2019-0002）中的格式）</w:t>
      </w:r>
    </w:p>
    <w:p>
      <w:pPr>
        <w:rPr>
          <w:rFonts w:ascii="宋体" w:hAnsi="宋体"/>
          <w:szCs w:val="21"/>
          <w:u w:val="single"/>
        </w:rPr>
      </w:pPr>
    </w:p>
    <w:bookmarkEnd w:id="204"/>
    <w:bookmarkEnd w:id="205"/>
    <w:p>
      <w:pPr>
        <w:pStyle w:val="2"/>
        <w:spacing w:line="240" w:lineRule="auto"/>
        <w:jc w:val="center"/>
        <w:rPr>
          <w:rFonts w:eastAsia="黑体"/>
          <w:b w:val="0"/>
        </w:rPr>
      </w:pPr>
      <w:bookmarkStart w:id="752" w:name="_Toc417408934"/>
      <w:bookmarkStart w:id="753" w:name="_Toc312072319"/>
      <w:r>
        <w:rPr>
          <w:rFonts w:hint="eastAsia" w:eastAsia="黑体"/>
          <w:b w:val="0"/>
        </w:rPr>
        <w:t>第五章 工程量清单</w:t>
      </w:r>
      <w:bookmarkEnd w:id="752"/>
    </w:p>
    <w:tbl>
      <w:tblPr>
        <w:tblStyle w:val="43"/>
        <w:tblW w:w="10038" w:type="dxa"/>
        <w:tblInd w:w="15" w:type="dxa"/>
        <w:tblLayout w:type="fixed"/>
        <w:tblCellMar>
          <w:top w:w="0" w:type="dxa"/>
          <w:left w:w="15" w:type="dxa"/>
          <w:bottom w:w="0" w:type="dxa"/>
          <w:right w:w="15" w:type="dxa"/>
        </w:tblCellMar>
      </w:tblPr>
      <w:tblGrid>
        <w:gridCol w:w="10038"/>
      </w:tblGrid>
      <w:tr>
        <w:tblPrEx>
          <w:tblCellMar>
            <w:top w:w="0" w:type="dxa"/>
            <w:left w:w="15" w:type="dxa"/>
            <w:bottom w:w="0" w:type="dxa"/>
            <w:right w:w="15" w:type="dxa"/>
          </w:tblCellMar>
        </w:tblPrEx>
        <w:trPr>
          <w:trHeight w:val="348" w:hRule="exact"/>
        </w:trPr>
        <w:tc>
          <w:tcPr>
            <w:tcW w:w="10038" w:type="dxa"/>
            <w:tcBorders>
              <w:top w:val="nil"/>
              <w:left w:val="nil"/>
              <w:bottom w:val="nil"/>
              <w:right w:val="nil"/>
            </w:tcBorders>
            <w:vAlign w:val="center"/>
          </w:tcPr>
          <w:p>
            <w:pPr>
              <w:widowControl/>
              <w:jc w:val="left"/>
              <w:rPr>
                <w:rFonts w:ascii="宋体" w:hAnsi="宋体"/>
                <w:b/>
                <w:bCs/>
                <w:sz w:val="24"/>
              </w:rPr>
            </w:pPr>
            <w:r>
              <w:rPr>
                <w:rFonts w:hint="eastAsia" w:ascii="宋体" w:hAnsi="宋体"/>
                <w:b/>
                <w:bCs/>
                <w:sz w:val="24"/>
              </w:rPr>
              <w:t>登陆济宁市公共资源交易网（</w:t>
            </w:r>
            <w:r>
              <w:rPr>
                <w:rFonts w:ascii="宋体" w:hAnsi="宋体"/>
                <w:b/>
                <w:bCs/>
                <w:sz w:val="24"/>
              </w:rPr>
              <w:t>http://http://ggzy.jining.gov.cn</w:t>
            </w:r>
            <w:r>
              <w:rPr>
                <w:rFonts w:hint="eastAsia" w:ascii="宋体" w:hAnsi="宋体"/>
                <w:b/>
                <w:bCs/>
                <w:sz w:val="24"/>
              </w:rPr>
              <w:t>）随招标文件一起下载。</w:t>
            </w:r>
          </w:p>
          <w:p>
            <w:pPr>
              <w:widowControl/>
              <w:jc w:val="left"/>
              <w:rPr>
                <w:rFonts w:ascii="Arial" w:hAnsi="Arial" w:cs="Arial"/>
                <w:color w:val="000000"/>
                <w:kern w:val="0"/>
                <w:sz w:val="20"/>
                <w:szCs w:val="20"/>
              </w:rPr>
            </w:pPr>
          </w:p>
        </w:tc>
      </w:tr>
    </w:tbl>
    <w:p>
      <w:pPr>
        <w:ind w:firstLine="472" w:firstLineChars="196"/>
        <w:jc w:val="left"/>
        <w:rPr>
          <w:rFonts w:ascii="宋体" w:hAnsi="宋体"/>
          <w:b/>
          <w:bCs/>
          <w:sz w:val="2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p>
    <w:p>
      <w:pPr>
        <w:ind w:firstLine="862" w:firstLineChars="196"/>
        <w:jc w:val="center"/>
        <w:rPr>
          <w:rFonts w:eastAsia="黑体"/>
          <w:bCs/>
          <w:kern w:val="44"/>
          <w:sz w:val="44"/>
          <w:szCs w:val="44"/>
        </w:rPr>
      </w:pPr>
      <w:r>
        <w:rPr>
          <w:rFonts w:eastAsia="黑体"/>
          <w:bCs/>
          <w:kern w:val="44"/>
          <w:sz w:val="44"/>
          <w:szCs w:val="44"/>
        </w:rPr>
        <w:t>第</w:t>
      </w:r>
      <w:r>
        <w:rPr>
          <w:rFonts w:hint="eastAsia" w:eastAsia="黑体"/>
          <w:bCs/>
          <w:kern w:val="44"/>
          <w:sz w:val="44"/>
          <w:szCs w:val="44"/>
        </w:rPr>
        <w:t>六</w:t>
      </w:r>
      <w:r>
        <w:rPr>
          <w:rFonts w:eastAsia="黑体"/>
          <w:bCs/>
          <w:kern w:val="44"/>
          <w:sz w:val="44"/>
          <w:szCs w:val="44"/>
        </w:rPr>
        <w:t xml:space="preserve">章 </w:t>
      </w:r>
      <w:r>
        <w:rPr>
          <w:rFonts w:hint="eastAsia" w:eastAsia="黑体"/>
          <w:bCs/>
          <w:kern w:val="44"/>
          <w:sz w:val="44"/>
          <w:szCs w:val="44"/>
        </w:rPr>
        <w:t>图纸</w:t>
      </w:r>
    </w:p>
    <w:p>
      <w:pPr>
        <w:rPr>
          <w:rFonts w:ascii="黑体" w:hAnsi="宋体" w:eastAsia="黑体"/>
          <w:sz w:val="30"/>
          <w:szCs w:val="30"/>
        </w:rPr>
      </w:pPr>
      <w:r>
        <w:rPr>
          <w:rFonts w:hint="eastAsia" w:ascii="黑体" w:hAnsi="宋体" w:eastAsia="黑体"/>
          <w:sz w:val="30"/>
          <w:szCs w:val="30"/>
        </w:rPr>
        <w:t>1．图纸目录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r>
              <w:rPr>
                <w:rFonts w:hint="eastAsia" w:ascii="宋体" w:hAnsi="宋体"/>
                <w:szCs w:val="21"/>
              </w:rPr>
              <w:t>序号</w:t>
            </w:r>
          </w:p>
        </w:tc>
        <w:tc>
          <w:tcPr>
            <w:tcW w:w="1420" w:type="dxa"/>
            <w:vAlign w:val="center"/>
          </w:tcPr>
          <w:p>
            <w:pPr>
              <w:jc w:val="center"/>
              <w:rPr>
                <w:rFonts w:ascii="宋体" w:hAnsi="宋体"/>
                <w:szCs w:val="21"/>
              </w:rPr>
            </w:pPr>
            <w:r>
              <w:rPr>
                <w:rFonts w:hint="eastAsia" w:ascii="宋体" w:hAnsi="宋体"/>
                <w:szCs w:val="21"/>
              </w:rPr>
              <w:t>图名</w:t>
            </w:r>
          </w:p>
        </w:tc>
        <w:tc>
          <w:tcPr>
            <w:tcW w:w="1420" w:type="dxa"/>
            <w:vAlign w:val="center"/>
          </w:tcPr>
          <w:p>
            <w:pPr>
              <w:jc w:val="center"/>
              <w:rPr>
                <w:rFonts w:ascii="宋体" w:hAnsi="宋体"/>
                <w:szCs w:val="21"/>
              </w:rPr>
            </w:pPr>
            <w:r>
              <w:rPr>
                <w:rFonts w:hint="eastAsia" w:ascii="宋体" w:hAnsi="宋体"/>
                <w:szCs w:val="21"/>
              </w:rPr>
              <w:t>图号</w:t>
            </w:r>
          </w:p>
        </w:tc>
        <w:tc>
          <w:tcPr>
            <w:tcW w:w="1420" w:type="dxa"/>
            <w:vAlign w:val="center"/>
          </w:tcPr>
          <w:p>
            <w:pPr>
              <w:jc w:val="center"/>
              <w:rPr>
                <w:rFonts w:ascii="宋体" w:hAnsi="宋体"/>
                <w:szCs w:val="21"/>
              </w:rPr>
            </w:pPr>
            <w:r>
              <w:rPr>
                <w:rFonts w:hint="eastAsia" w:ascii="宋体" w:hAnsi="宋体"/>
                <w:szCs w:val="21"/>
              </w:rPr>
              <w:t>版本</w:t>
            </w:r>
          </w:p>
        </w:tc>
        <w:tc>
          <w:tcPr>
            <w:tcW w:w="1421" w:type="dxa"/>
            <w:vAlign w:val="center"/>
          </w:tcPr>
          <w:p>
            <w:pPr>
              <w:jc w:val="center"/>
              <w:rPr>
                <w:rFonts w:ascii="宋体" w:hAnsi="宋体"/>
                <w:szCs w:val="21"/>
              </w:rPr>
            </w:pPr>
            <w:r>
              <w:rPr>
                <w:rFonts w:hint="eastAsia" w:ascii="宋体" w:hAnsi="宋体"/>
                <w:szCs w:val="21"/>
              </w:rPr>
              <w:t>出图日期</w:t>
            </w:r>
          </w:p>
        </w:tc>
        <w:tc>
          <w:tcPr>
            <w:tcW w:w="1421"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0" w:type="dxa"/>
            <w:vAlign w:val="center"/>
          </w:tcPr>
          <w:p>
            <w:pPr>
              <w:jc w:val="center"/>
              <w:rPr>
                <w:rFonts w:ascii="宋体" w:hAnsi="宋体"/>
                <w:szCs w:val="21"/>
              </w:rPr>
            </w:pPr>
          </w:p>
        </w:tc>
        <w:tc>
          <w:tcPr>
            <w:tcW w:w="1421" w:type="dxa"/>
            <w:vAlign w:val="center"/>
          </w:tcPr>
          <w:p>
            <w:pPr>
              <w:jc w:val="center"/>
              <w:rPr>
                <w:rFonts w:ascii="宋体" w:hAnsi="宋体"/>
                <w:szCs w:val="21"/>
              </w:rPr>
            </w:pPr>
          </w:p>
        </w:tc>
        <w:tc>
          <w:tcPr>
            <w:tcW w:w="1421" w:type="dxa"/>
            <w:vAlign w:val="center"/>
          </w:tcPr>
          <w:p>
            <w:pPr>
              <w:jc w:val="center"/>
              <w:rPr>
                <w:rFonts w:ascii="宋体" w:hAnsi="宋体"/>
                <w:szCs w:val="21"/>
              </w:rPr>
            </w:pPr>
          </w:p>
        </w:tc>
      </w:tr>
    </w:tbl>
    <w:p>
      <w:pPr>
        <w:rPr>
          <w:rFonts w:ascii="黑体" w:eastAsia="黑体"/>
          <w:sz w:val="30"/>
          <w:szCs w:val="30"/>
        </w:rPr>
      </w:pPr>
      <w:r>
        <w:rPr>
          <w:rFonts w:ascii="黑体" w:eastAsia="黑体"/>
          <w:sz w:val="44"/>
          <w:szCs w:val="44"/>
        </w:rPr>
        <w:br w:type="page"/>
      </w:r>
      <w:r>
        <w:rPr>
          <w:rFonts w:hint="eastAsia" w:ascii="黑体" w:eastAsia="黑体"/>
          <w:sz w:val="30"/>
          <w:szCs w:val="30"/>
        </w:rPr>
        <w:t>2．图纸</w:t>
      </w:r>
    </w:p>
    <w:p>
      <w:pPr>
        <w:spacing w:beforeLines="100" w:afterLines="100"/>
        <w:jc w:val="center"/>
        <w:rPr>
          <w:rFonts w:eastAsia="黑体"/>
          <w:bCs/>
          <w:kern w:val="44"/>
          <w:sz w:val="44"/>
          <w:szCs w:val="44"/>
        </w:rPr>
      </w:pPr>
      <w:r>
        <w:rPr>
          <w:rFonts w:hint="eastAsia" w:ascii="宋体" w:hAnsi="宋体"/>
          <w:b/>
          <w:bCs/>
          <w:sz w:val="24"/>
        </w:rPr>
        <w:t>登陆济宁市公共资源交易网（</w:t>
      </w:r>
      <w:r>
        <w:rPr>
          <w:rFonts w:ascii="宋体" w:hAnsi="宋体"/>
          <w:b/>
          <w:bCs/>
          <w:sz w:val="24"/>
        </w:rPr>
        <w:t>http://http://ggzy.jining.gov.cn</w:t>
      </w:r>
      <w:r>
        <w:rPr>
          <w:rFonts w:hint="eastAsia" w:ascii="宋体" w:hAnsi="宋体"/>
          <w:b/>
          <w:bCs/>
          <w:sz w:val="24"/>
        </w:rPr>
        <w:t>）进行下载。</w:t>
      </w:r>
      <w:r>
        <w:rPr>
          <w:rFonts w:ascii="宋体" w:hAnsi="宋体"/>
          <w:b/>
          <w:bCs/>
          <w:sz w:val="24"/>
        </w:rPr>
        <w:br w:type="page"/>
      </w:r>
      <w:bookmarkEnd w:id="753"/>
      <w:bookmarkStart w:id="754" w:name="_Toc312072323"/>
      <w:r>
        <w:rPr>
          <w:rFonts w:hint="eastAsia" w:eastAsia="黑体"/>
          <w:bCs/>
          <w:kern w:val="44"/>
          <w:sz w:val="44"/>
          <w:szCs w:val="44"/>
        </w:rPr>
        <w:t>第七章  技术标准和要求</w:t>
      </w:r>
    </w:p>
    <w:p>
      <w:pPr>
        <w:adjustRightInd w:val="0"/>
        <w:snapToGrid w:val="0"/>
        <w:spacing w:line="288" w:lineRule="auto"/>
        <w:ind w:firstLine="480" w:firstLineChars="200"/>
        <w:rPr>
          <w:color w:val="000000"/>
          <w:sz w:val="24"/>
        </w:rPr>
      </w:pPr>
      <w:r>
        <w:rPr>
          <w:rFonts w:hint="eastAsia"/>
          <w:color w:val="000000"/>
          <w:sz w:val="24"/>
        </w:rPr>
        <w:t>本招标工程项目的材料、设备、施工须达到现行中华人民共和国以及省、自治区、直辖市或行业的工程建设标准、规范的要求。</w:t>
      </w: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spacing w:beforeLines="100" w:afterLines="100"/>
        <w:jc w:val="center"/>
        <w:rPr>
          <w:rFonts w:eastAsia="黑体"/>
          <w:bCs/>
          <w:color w:val="FF0000"/>
          <w:kern w:val="44"/>
          <w:sz w:val="44"/>
          <w:szCs w:val="44"/>
        </w:rPr>
      </w:pPr>
      <w:r>
        <w:rPr>
          <w:rFonts w:hint="eastAsia"/>
          <w:color w:val="FF0000"/>
        </w:rPr>
        <w:t>具体条款招标人根据项目情况进一步约定。</w:t>
      </w: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adjustRightInd w:val="0"/>
        <w:snapToGrid w:val="0"/>
        <w:spacing w:line="288" w:lineRule="auto"/>
        <w:ind w:firstLine="480" w:firstLineChars="200"/>
        <w:rPr>
          <w:color w:val="000000"/>
          <w:sz w:val="24"/>
        </w:rPr>
      </w:pPr>
    </w:p>
    <w:p>
      <w:pPr>
        <w:pStyle w:val="2"/>
        <w:spacing w:line="240" w:lineRule="auto"/>
        <w:jc w:val="center"/>
        <w:rPr>
          <w:rFonts w:eastAsia="黑体"/>
          <w:b w:val="0"/>
        </w:rPr>
      </w:pPr>
      <w:r>
        <w:rPr>
          <w:rFonts w:eastAsia="黑体"/>
          <w:b w:val="0"/>
        </w:rPr>
        <w:t>第</w:t>
      </w:r>
      <w:r>
        <w:rPr>
          <w:rFonts w:hint="eastAsia" w:eastAsia="黑体"/>
          <w:b w:val="0"/>
        </w:rPr>
        <w:t>八</w:t>
      </w:r>
      <w:r>
        <w:rPr>
          <w:rFonts w:eastAsia="黑体"/>
          <w:b w:val="0"/>
        </w:rPr>
        <w:t>章 投标文件格式</w:t>
      </w:r>
      <w:bookmarkEnd w:id="754"/>
    </w:p>
    <w:p>
      <w:pPr>
        <w:shd w:val="clear" w:color="auto" w:fill="FFFFFF"/>
        <w:jc w:val="center"/>
        <w:rPr>
          <w:rFonts w:eastAsia="黑体"/>
          <w:kern w:val="0"/>
          <w:sz w:val="24"/>
        </w:rPr>
      </w:pPr>
    </w:p>
    <w:p>
      <w:pPr>
        <w:rPr>
          <w:szCs w:val="21"/>
        </w:rPr>
      </w:pPr>
    </w:p>
    <w:p>
      <w:pPr>
        <w:rPr>
          <w:szCs w:val="21"/>
        </w:rPr>
      </w:pPr>
    </w:p>
    <w:p>
      <w:pPr>
        <w:jc w:val="center"/>
        <w:rPr>
          <w:rFonts w:eastAsia="黑体"/>
          <w:sz w:val="36"/>
          <w:szCs w:val="36"/>
        </w:rPr>
      </w:pPr>
      <w:r>
        <w:rPr>
          <w:rFonts w:eastAsia="黑体"/>
          <w:sz w:val="36"/>
          <w:szCs w:val="36"/>
          <w:u w:val="single"/>
        </w:rPr>
        <w:t xml:space="preserve">           </w:t>
      </w:r>
      <w:r>
        <w:rPr>
          <w:rFonts w:eastAsia="黑体"/>
          <w:sz w:val="36"/>
          <w:szCs w:val="36"/>
        </w:rPr>
        <w:t>（项目名称）</w:t>
      </w:r>
      <w:r>
        <w:rPr>
          <w:rFonts w:eastAsia="黑体"/>
          <w:sz w:val="36"/>
          <w:szCs w:val="36"/>
          <w:u w:val="single"/>
        </w:rPr>
        <w:t xml:space="preserve">           </w:t>
      </w:r>
      <w:r>
        <w:rPr>
          <w:rFonts w:eastAsia="黑体"/>
          <w:sz w:val="36"/>
          <w:szCs w:val="36"/>
        </w:rPr>
        <w:t>标段施工招标</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jc w:val="center"/>
        <w:rPr>
          <w:rFonts w:eastAsia="黑体"/>
          <w:sz w:val="72"/>
          <w:szCs w:val="72"/>
        </w:rPr>
      </w:pPr>
      <w:r>
        <w:rPr>
          <w:rFonts w:eastAsia="黑体"/>
          <w:sz w:val="72"/>
          <w:szCs w:val="72"/>
        </w:rPr>
        <w:t>投  标  文  件</w:t>
      </w:r>
    </w:p>
    <w:p>
      <w:pPr>
        <w:rPr>
          <w:b/>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w:t>
      </w:r>
      <w:r>
        <w:rPr>
          <w:rFonts w:hint="eastAsia" w:eastAsia="黑体"/>
          <w:sz w:val="28"/>
          <w:szCs w:val="28"/>
        </w:rPr>
        <w:t>单位电子公章</w:t>
      </w:r>
      <w:r>
        <w:rPr>
          <w:rFonts w:eastAsia="黑体"/>
          <w:sz w:val="28"/>
          <w:szCs w:val="28"/>
        </w:rPr>
        <w:t>）</w:t>
      </w:r>
    </w:p>
    <w:p>
      <w:pPr>
        <w:jc w:val="center"/>
        <w:rPr>
          <w:rFonts w:eastAsia="黑体"/>
          <w:sz w:val="28"/>
          <w:szCs w:val="28"/>
        </w:rPr>
      </w:pPr>
      <w:r>
        <w:rPr>
          <w:rFonts w:eastAsia="黑体"/>
          <w:sz w:val="28"/>
          <w:szCs w:val="28"/>
        </w:rPr>
        <w:t>法定代表人：</w:t>
      </w:r>
      <w:r>
        <w:rPr>
          <w:rFonts w:eastAsia="黑体"/>
          <w:sz w:val="28"/>
          <w:szCs w:val="28"/>
          <w:u w:val="single"/>
        </w:rPr>
        <w:t xml:space="preserve">                </w:t>
      </w:r>
      <w:r>
        <w:rPr>
          <w:rFonts w:eastAsia="黑体"/>
          <w:sz w:val="28"/>
          <w:szCs w:val="28"/>
        </w:rPr>
        <w:t>（</w:t>
      </w:r>
      <w:r>
        <w:rPr>
          <w:rFonts w:hint="eastAsia" w:eastAsia="黑体"/>
          <w:sz w:val="28"/>
          <w:szCs w:val="28"/>
        </w:rPr>
        <w:t>电子签名或盖章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rPr>
          <w:szCs w:val="21"/>
        </w:rPr>
      </w:pPr>
    </w:p>
    <w:p>
      <w:pPr>
        <w:rPr>
          <w:rFonts w:eastAsia="黑体"/>
          <w:sz w:val="28"/>
          <w:szCs w:val="28"/>
        </w:rPr>
      </w:pPr>
      <w:bookmarkStart w:id="755" w:name="_Toc152045787"/>
      <w:bookmarkStart w:id="756" w:name="_Toc152042576"/>
      <w:bookmarkStart w:id="757" w:name="_Toc144974856"/>
      <w:bookmarkStart w:id="758" w:name="_Toc232995540"/>
      <w:bookmarkStart w:id="759" w:name="_Toc269310987"/>
    </w:p>
    <w:p>
      <w:pPr>
        <w:rPr>
          <w:rFonts w:eastAsia="黑体"/>
          <w:sz w:val="28"/>
          <w:szCs w:val="28"/>
        </w:rPr>
      </w:pPr>
    </w:p>
    <w:p>
      <w:pPr>
        <w:jc w:val="center"/>
        <w:rPr>
          <w:rFonts w:eastAsia="黑体"/>
          <w:sz w:val="32"/>
          <w:szCs w:val="32"/>
        </w:rPr>
      </w:pPr>
      <w:r>
        <w:rPr>
          <w:rFonts w:eastAsia="黑体"/>
          <w:sz w:val="32"/>
          <w:szCs w:val="32"/>
        </w:rPr>
        <w:t>目    录</w:t>
      </w:r>
      <w:bookmarkEnd w:id="755"/>
      <w:bookmarkEnd w:id="756"/>
      <w:bookmarkEnd w:id="757"/>
      <w:bookmarkEnd w:id="758"/>
      <w:bookmarkEnd w:id="759"/>
    </w:p>
    <w:p>
      <w:pPr>
        <w:spacing w:line="360" w:lineRule="exact"/>
        <w:rPr>
          <w:szCs w:val="21"/>
        </w:rPr>
      </w:pPr>
    </w:p>
    <w:p>
      <w:pPr>
        <w:spacing w:line="360" w:lineRule="exact"/>
        <w:rPr>
          <w:sz w:val="24"/>
        </w:rPr>
      </w:pPr>
      <w:r>
        <w:rPr>
          <w:sz w:val="24"/>
        </w:rPr>
        <w:t>一、投标函</w:t>
      </w:r>
      <w:r>
        <w:rPr>
          <w:rFonts w:hint="eastAsia"/>
          <w:sz w:val="24"/>
        </w:rPr>
        <w:t>及投标函附录</w:t>
      </w:r>
    </w:p>
    <w:p>
      <w:pPr>
        <w:spacing w:line="360" w:lineRule="exact"/>
        <w:rPr>
          <w:sz w:val="24"/>
        </w:rPr>
      </w:pPr>
      <w:r>
        <w:rPr>
          <w:rFonts w:hint="eastAsia"/>
          <w:sz w:val="24"/>
        </w:rPr>
        <w:t>二、联合体协议书</w:t>
      </w:r>
    </w:p>
    <w:p>
      <w:pPr>
        <w:spacing w:line="360" w:lineRule="exact"/>
        <w:rPr>
          <w:sz w:val="24"/>
        </w:rPr>
      </w:pPr>
      <w:r>
        <w:rPr>
          <w:rFonts w:hint="eastAsia"/>
          <w:sz w:val="24"/>
        </w:rPr>
        <w:t>三</w:t>
      </w:r>
      <w:r>
        <w:rPr>
          <w:sz w:val="24"/>
        </w:rPr>
        <w:t>、已标价工程量清单</w:t>
      </w:r>
    </w:p>
    <w:p>
      <w:pPr>
        <w:spacing w:line="360" w:lineRule="exact"/>
        <w:rPr>
          <w:sz w:val="24"/>
        </w:rPr>
      </w:pPr>
      <w:r>
        <w:rPr>
          <w:rFonts w:hint="eastAsia"/>
          <w:sz w:val="24"/>
        </w:rPr>
        <w:t>四</w:t>
      </w:r>
      <w:r>
        <w:rPr>
          <w:sz w:val="24"/>
        </w:rPr>
        <w:t>、施工组织设计</w:t>
      </w:r>
    </w:p>
    <w:p>
      <w:pPr>
        <w:spacing w:line="360" w:lineRule="exact"/>
        <w:rPr>
          <w:sz w:val="24"/>
        </w:rPr>
      </w:pPr>
      <w:r>
        <w:rPr>
          <w:rFonts w:hint="eastAsia"/>
          <w:sz w:val="24"/>
        </w:rPr>
        <w:t>五</w:t>
      </w:r>
      <w:r>
        <w:rPr>
          <w:sz w:val="24"/>
        </w:rPr>
        <w:t>、项目管理机构</w:t>
      </w:r>
    </w:p>
    <w:p>
      <w:pPr>
        <w:spacing w:line="360" w:lineRule="exact"/>
        <w:rPr>
          <w:sz w:val="24"/>
        </w:rPr>
      </w:pPr>
      <w:r>
        <w:rPr>
          <w:rFonts w:hint="eastAsia"/>
          <w:sz w:val="24"/>
        </w:rPr>
        <w:t>六</w:t>
      </w:r>
      <w:r>
        <w:rPr>
          <w:sz w:val="24"/>
        </w:rPr>
        <w:t>、拟分包项目情况表</w:t>
      </w:r>
    </w:p>
    <w:p>
      <w:pPr>
        <w:spacing w:line="360" w:lineRule="exact"/>
        <w:rPr>
          <w:sz w:val="24"/>
        </w:rPr>
      </w:pPr>
      <w:r>
        <w:rPr>
          <w:rFonts w:hint="eastAsia"/>
          <w:sz w:val="24"/>
        </w:rPr>
        <w:t>七</w:t>
      </w:r>
      <w:r>
        <w:rPr>
          <w:sz w:val="24"/>
        </w:rPr>
        <w:t>、资格审查资料</w:t>
      </w:r>
    </w:p>
    <w:p>
      <w:pPr>
        <w:spacing w:line="360" w:lineRule="exact"/>
        <w:rPr>
          <w:sz w:val="24"/>
        </w:rPr>
      </w:pPr>
      <w:r>
        <w:rPr>
          <w:rFonts w:hint="eastAsia"/>
          <w:sz w:val="24"/>
        </w:rPr>
        <w:t>八</w:t>
      </w:r>
      <w:r>
        <w:rPr>
          <w:sz w:val="24"/>
        </w:rPr>
        <w:t>、其他材料</w:t>
      </w: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line="360" w:lineRule="exact"/>
        <w:rPr>
          <w:szCs w:val="21"/>
        </w:rPr>
      </w:pPr>
    </w:p>
    <w:p>
      <w:pPr>
        <w:spacing w:beforeLines="100" w:line="510" w:lineRule="exact"/>
        <w:jc w:val="center"/>
        <w:rPr>
          <w:rFonts w:ascii="黑体" w:hAnsi="宋体" w:eastAsia="黑体"/>
          <w:sz w:val="28"/>
          <w:szCs w:val="28"/>
        </w:rPr>
      </w:pPr>
      <w:r>
        <w:rPr>
          <w:rFonts w:hint="eastAsia" w:ascii="黑体" w:hAnsi="宋体" w:eastAsia="黑体"/>
          <w:sz w:val="28"/>
          <w:szCs w:val="28"/>
        </w:rPr>
        <w:t>一、投标函及投标函附录</w:t>
      </w:r>
    </w:p>
    <w:p>
      <w:pPr>
        <w:spacing w:beforeLines="100" w:afterLines="50" w:line="510" w:lineRule="exact"/>
        <w:jc w:val="center"/>
        <w:outlineLvl w:val="0"/>
        <w:rPr>
          <w:rFonts w:ascii="黑体" w:hAnsi="宋体" w:eastAsia="黑体"/>
          <w:sz w:val="24"/>
        </w:rPr>
      </w:pPr>
      <w:r>
        <w:rPr>
          <w:rFonts w:hint="eastAsia" w:ascii="黑体" w:hAnsi="宋体" w:eastAsia="黑体"/>
          <w:sz w:val="24"/>
        </w:rPr>
        <w:t>（一）投标函</w:t>
      </w:r>
    </w:p>
    <w:p>
      <w:pPr>
        <w:spacing w:line="480" w:lineRule="exact"/>
        <w:rPr>
          <w:rFonts w:ascii="宋体" w:hAnsi="宋体"/>
          <w:szCs w:val="21"/>
        </w:rPr>
      </w:pPr>
      <w:r>
        <w:rPr>
          <w:rFonts w:hint="eastAsia" w:ascii="宋体" w:hAnsi="宋体"/>
          <w:szCs w:val="21"/>
        </w:rPr>
        <w:t>致：（招标人名称）</w:t>
      </w:r>
    </w:p>
    <w:p>
      <w:pPr>
        <w:spacing w:line="480" w:lineRule="exact"/>
        <w:ind w:firstLine="420" w:firstLineChars="200"/>
        <w:rPr>
          <w:rFonts w:ascii="宋体" w:hAnsi="宋体"/>
          <w:szCs w:val="21"/>
        </w:rPr>
      </w:pPr>
      <w:r>
        <w:rPr>
          <w:rFonts w:hint="eastAsia" w:ascii="宋体" w:hAnsi="宋体"/>
          <w:szCs w:val="21"/>
        </w:rPr>
        <w:t>在考察现场并充分研究（项目名称）标段（以下简称“本工程”）施工招标文件的全部内容后，我方完全同意招标文件的全部内容，我方兹以：</w:t>
      </w:r>
    </w:p>
    <w:p>
      <w:pPr>
        <w:spacing w:line="480" w:lineRule="exact"/>
        <w:ind w:firstLine="1050" w:firstLineChars="500"/>
        <w:rPr>
          <w:rFonts w:ascii="宋体" w:hAnsi="宋体"/>
          <w:szCs w:val="21"/>
        </w:rPr>
      </w:pPr>
      <w:r>
        <w:rPr>
          <w:rFonts w:hint="eastAsia" w:ascii="宋体" w:hAnsi="宋体"/>
          <w:szCs w:val="21"/>
        </w:rPr>
        <w:t>人民币（大写）：元</w:t>
      </w:r>
    </w:p>
    <w:p>
      <w:pPr>
        <w:spacing w:line="480" w:lineRule="exact"/>
        <w:ind w:firstLine="1050" w:firstLineChars="500"/>
        <w:rPr>
          <w:rFonts w:ascii="宋体" w:hAnsi="宋体"/>
          <w:szCs w:val="21"/>
        </w:rPr>
      </w:pPr>
      <w:r>
        <w:rPr>
          <w:rFonts w:hint="eastAsia" w:ascii="宋体" w:hAnsi="宋体"/>
          <w:szCs w:val="21"/>
        </w:rPr>
        <w:t>RMB￥（小写）：元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1050" w:firstLineChars="500"/>
        <w:rPr>
          <w:rFonts w:ascii="宋体" w:hAnsi="宋体"/>
          <w:szCs w:val="21"/>
        </w:rPr>
      </w:pPr>
      <w:r>
        <w:rPr>
          <w:rFonts w:hint="eastAsia" w:ascii="宋体" w:hAnsi="宋体"/>
          <w:szCs w:val="21"/>
        </w:rPr>
        <w:t xml:space="preserve">在我方的上述投标报价中，包括措施项目费： </w:t>
      </w:r>
    </w:p>
    <w:p>
      <w:pPr>
        <w:spacing w:line="480" w:lineRule="exact"/>
        <w:ind w:firstLine="1050" w:firstLineChars="500"/>
        <w:rPr>
          <w:rFonts w:ascii="宋体" w:hAnsi="宋体"/>
          <w:szCs w:val="21"/>
        </w:rPr>
      </w:pPr>
      <w:r>
        <w:rPr>
          <w:rFonts w:hint="eastAsia" w:ascii="宋体" w:hAnsi="宋体"/>
          <w:szCs w:val="21"/>
        </w:rPr>
        <w:t>人民币（大写）：元</w:t>
      </w:r>
    </w:p>
    <w:p>
      <w:pPr>
        <w:spacing w:line="480" w:lineRule="exact"/>
        <w:ind w:firstLine="1050" w:firstLineChars="500"/>
        <w:rPr>
          <w:rFonts w:ascii="宋体" w:hAnsi="宋体"/>
          <w:szCs w:val="21"/>
        </w:rPr>
      </w:pPr>
      <w:r>
        <w:rPr>
          <w:rFonts w:hint="eastAsia" w:ascii="宋体" w:hAnsi="宋体"/>
          <w:szCs w:val="21"/>
        </w:rPr>
        <w:t>RMB￥（小写）：元</w:t>
      </w:r>
    </w:p>
    <w:p>
      <w:pPr>
        <w:spacing w:line="480" w:lineRule="exact"/>
        <w:ind w:firstLine="420" w:firstLineChars="200"/>
        <w:rPr>
          <w:rFonts w:ascii="宋体" w:hAnsi="宋体"/>
          <w:szCs w:val="21"/>
        </w:rPr>
      </w:pPr>
      <w:r>
        <w:rPr>
          <w:rFonts w:hint="eastAsia" w:ascii="宋体" w:hAnsi="宋体"/>
          <w:szCs w:val="21"/>
        </w:rPr>
        <w:t>如果我方中标，我方保证在年月日或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ind w:left="181"/>
        <w:jc w:val="center"/>
        <w:rPr>
          <w:rFonts w:ascii="黑体" w:eastAsia="黑体"/>
          <w:b/>
          <w:bCs/>
          <w:kern w:val="44"/>
          <w:sz w:val="30"/>
          <w:szCs w:val="30"/>
          <w:highlight w:val="cyan"/>
        </w:rPr>
      </w:pPr>
      <w:r>
        <w:rPr>
          <w:rFonts w:hint="eastAsia" w:ascii="黑体" w:eastAsia="黑体"/>
          <w:b/>
          <w:bCs/>
          <w:kern w:val="44"/>
          <w:sz w:val="30"/>
          <w:szCs w:val="30"/>
          <w:highlight w:val="cyan"/>
        </w:rPr>
        <w:t>（二）投标承诺书</w:t>
      </w:r>
    </w:p>
    <w:p>
      <w:pPr>
        <w:ind w:left="181" w:leftChars="86" w:firstLine="420" w:firstLineChars="200"/>
      </w:pPr>
    </w:p>
    <w:p>
      <w:pPr>
        <w:ind w:left="181" w:leftChars="86" w:firstLine="420" w:firstLineChars="200"/>
        <w:rPr>
          <w:highlight w:val="cyan"/>
        </w:rPr>
      </w:pPr>
      <w:r>
        <w:rPr>
          <w:rFonts w:hint="eastAsia"/>
          <w:highlight w:val="cyan"/>
        </w:rPr>
        <w:t>我公司遵循公开、公平、公正和诚实守信的原则，参加本项目投标，为此，本公司郑重承诺如下：</w:t>
      </w:r>
    </w:p>
    <w:p>
      <w:pPr>
        <w:ind w:left="181" w:leftChars="86" w:firstLine="420" w:firstLineChars="200"/>
        <w:rPr>
          <w:highlight w:val="cyan"/>
        </w:rPr>
      </w:pPr>
      <w:r>
        <w:rPr>
          <w:highlight w:val="cyan"/>
        </w:rPr>
        <w:t>1</w:t>
      </w:r>
      <w:r>
        <w:rPr>
          <w:rFonts w:hint="eastAsia"/>
          <w:highlight w:val="cyan"/>
        </w:rPr>
        <w:t>、严格遵守国家有关的法律、法规和政策，自觉维护招投标市场和建筑市场秩序。</w:t>
      </w:r>
    </w:p>
    <w:p>
      <w:pPr>
        <w:ind w:left="181" w:leftChars="86" w:firstLine="420" w:firstLineChars="200"/>
        <w:rPr>
          <w:highlight w:val="cyan"/>
        </w:rPr>
      </w:pPr>
      <w:r>
        <w:rPr>
          <w:highlight w:val="cyan"/>
        </w:rPr>
        <w:t>2</w:t>
      </w:r>
      <w:r>
        <w:rPr>
          <w:rFonts w:hint="eastAsia"/>
          <w:highlight w:val="cyan"/>
        </w:rPr>
        <w:t>、不</w:t>
      </w:r>
      <w:r>
        <w:rPr>
          <w:highlight w:val="cyan"/>
        </w:rPr>
        <w:t>在投标有效期内随意撤回、撤销投标</w:t>
      </w:r>
      <w:r>
        <w:rPr>
          <w:rFonts w:hint="eastAsia"/>
          <w:highlight w:val="cyan"/>
        </w:rPr>
        <w:t>，</w:t>
      </w:r>
      <w:r>
        <w:rPr>
          <w:highlight w:val="cyan"/>
        </w:rPr>
        <w:t>中标后</w:t>
      </w:r>
      <w:r>
        <w:rPr>
          <w:rFonts w:hint="eastAsia"/>
          <w:highlight w:val="cyan"/>
        </w:rPr>
        <w:t>按招标文件约定</w:t>
      </w:r>
      <w:r>
        <w:rPr>
          <w:highlight w:val="cyan"/>
        </w:rPr>
        <w:t>提交履约保证金和签署合同</w:t>
      </w:r>
      <w:r>
        <w:rPr>
          <w:rFonts w:hint="eastAsia"/>
          <w:highlight w:val="cyan"/>
        </w:rPr>
        <w:t>。</w:t>
      </w:r>
    </w:p>
    <w:p>
      <w:pPr>
        <w:ind w:left="181" w:leftChars="86" w:firstLine="420" w:firstLineChars="200"/>
        <w:rPr>
          <w:highlight w:val="cyan"/>
        </w:rPr>
      </w:pPr>
      <w:r>
        <w:rPr>
          <w:rFonts w:hint="eastAsia"/>
          <w:highlight w:val="cyan"/>
        </w:rPr>
        <w:t>3、严格按照资质等级和核定的业务范围承揽工程，不挂靠、转包、违法分包工程。</w:t>
      </w:r>
    </w:p>
    <w:p>
      <w:pPr>
        <w:ind w:left="181" w:leftChars="86" w:firstLine="420" w:firstLineChars="200"/>
        <w:rPr>
          <w:highlight w:val="cyan"/>
        </w:rPr>
      </w:pPr>
      <w:r>
        <w:rPr>
          <w:highlight w:val="cyan"/>
        </w:rPr>
        <w:t>3</w:t>
      </w:r>
      <w:r>
        <w:rPr>
          <w:rFonts w:hint="eastAsia"/>
          <w:highlight w:val="cyan"/>
        </w:rPr>
        <w:t>、提供的投标材料包括但不限于资质资格证书、业绩及奖项证明等均真实、合法有效。</w:t>
      </w:r>
    </w:p>
    <w:p>
      <w:pPr>
        <w:ind w:left="181" w:leftChars="86" w:firstLine="420" w:firstLineChars="200"/>
        <w:rPr>
          <w:highlight w:val="cyan"/>
        </w:rPr>
      </w:pPr>
      <w:r>
        <w:rPr>
          <w:rFonts w:hint="eastAsia"/>
          <w:highlight w:val="cyan"/>
        </w:rPr>
        <w:t>4、不组织或参与围标，不与</w:t>
      </w:r>
      <w:r>
        <w:fldChar w:fldCharType="begin"/>
      </w:r>
      <w:r>
        <w:instrText xml:space="preserve"> HYPERLINK "http://www.cbi360.net/hyjd/1zt38.html" \t "_blank" </w:instrText>
      </w:r>
      <w:r>
        <w:fldChar w:fldCharType="separate"/>
      </w:r>
      <w:r>
        <w:rPr>
          <w:rFonts w:hint="eastAsia"/>
          <w:highlight w:val="cyan"/>
        </w:rPr>
        <w:t>招标人</w:t>
      </w:r>
      <w:r>
        <w:rPr>
          <w:rFonts w:hint="eastAsia"/>
          <w:highlight w:val="cyan"/>
        </w:rPr>
        <w:fldChar w:fldCharType="end"/>
      </w:r>
      <w:r>
        <w:rPr>
          <w:rFonts w:hint="eastAsia"/>
          <w:highlight w:val="cyan"/>
        </w:rPr>
        <w:t>或其他投标人串通投标。</w:t>
      </w:r>
    </w:p>
    <w:p>
      <w:pPr>
        <w:ind w:left="181" w:leftChars="86" w:firstLine="420" w:firstLineChars="200"/>
        <w:rPr>
          <w:highlight w:val="cyan"/>
        </w:rPr>
      </w:pPr>
      <w:r>
        <w:rPr>
          <w:rFonts w:hint="eastAsia"/>
          <w:highlight w:val="cyan"/>
        </w:rPr>
        <w:t>5、不以他人名义投标或者其他方式弄虚作假，骗取中标。</w:t>
      </w:r>
    </w:p>
    <w:p>
      <w:pPr>
        <w:ind w:left="181" w:leftChars="86" w:firstLine="420" w:firstLineChars="200"/>
        <w:rPr>
          <w:highlight w:val="cyan"/>
        </w:rPr>
      </w:pPr>
      <w:r>
        <w:rPr>
          <w:rFonts w:hint="eastAsia"/>
          <w:highlight w:val="cyan"/>
        </w:rPr>
        <w:t>6、不向招标人或</w:t>
      </w:r>
      <w:r>
        <w:fldChar w:fldCharType="begin"/>
      </w:r>
      <w:r>
        <w:instrText xml:space="preserve"> HYPERLINK "http://www.cbi360.net/hyjd/1zt102.html" \t "_blank" </w:instrText>
      </w:r>
      <w:r>
        <w:fldChar w:fldCharType="separate"/>
      </w:r>
      <w:r>
        <w:rPr>
          <w:rFonts w:hint="eastAsia"/>
          <w:highlight w:val="cyan"/>
        </w:rPr>
        <w:t>评标</w:t>
      </w:r>
      <w:r>
        <w:rPr>
          <w:rFonts w:hint="eastAsia"/>
          <w:highlight w:val="cyan"/>
        </w:rPr>
        <w:fldChar w:fldCharType="end"/>
      </w:r>
      <w:r>
        <w:rPr>
          <w:rFonts w:hint="eastAsia"/>
          <w:highlight w:val="cyan"/>
        </w:rPr>
        <w:t>委员会成员行贿，以谋取</w:t>
      </w:r>
      <w:r>
        <w:fldChar w:fldCharType="begin"/>
      </w:r>
      <w:r>
        <w:instrText xml:space="preserve"> HYPERLINK "http://hhb.cbi360.net/TenderBangSoso.aspx" \t "_blank" </w:instrText>
      </w:r>
      <w:r>
        <w:fldChar w:fldCharType="separate"/>
      </w:r>
      <w:r>
        <w:rPr>
          <w:rFonts w:hint="eastAsia"/>
          <w:highlight w:val="cyan"/>
        </w:rPr>
        <w:t>中标</w:t>
      </w:r>
      <w:r>
        <w:rPr>
          <w:rFonts w:hint="eastAsia"/>
          <w:highlight w:val="cyan"/>
        </w:rPr>
        <w:fldChar w:fldCharType="end"/>
      </w:r>
      <w:r>
        <w:rPr>
          <w:rFonts w:hint="eastAsia"/>
          <w:highlight w:val="cyan"/>
        </w:rPr>
        <w:t>。</w:t>
      </w:r>
    </w:p>
    <w:p>
      <w:pPr>
        <w:ind w:left="181" w:leftChars="86" w:firstLine="420" w:firstLineChars="200"/>
        <w:rPr>
          <w:highlight w:val="cyan"/>
        </w:rPr>
      </w:pPr>
      <w:r>
        <w:rPr>
          <w:rFonts w:hint="eastAsia"/>
          <w:highlight w:val="cyan"/>
        </w:rPr>
        <w:t>7、不进行缺乏事实根据或法律依据的投诉，不进行恶意投诉。</w:t>
      </w:r>
    </w:p>
    <w:p>
      <w:pPr>
        <w:ind w:left="181" w:leftChars="86" w:firstLine="420" w:firstLineChars="200"/>
        <w:rPr>
          <w:highlight w:val="cyan"/>
        </w:rPr>
      </w:pPr>
      <w:r>
        <w:rPr>
          <w:rFonts w:hint="eastAsia"/>
          <w:highlight w:val="cyan"/>
        </w:rPr>
        <w:t>8、不违反相关法律法规，注册建造师不同时在两个及两个以上的</w:t>
      </w:r>
      <w:r>
        <w:fldChar w:fldCharType="begin"/>
      </w:r>
      <w:r>
        <w:instrText xml:space="preserve"> HYPERLINK "http://www.cbi360.net/" \t "_blank" </w:instrText>
      </w:r>
      <w:r>
        <w:fldChar w:fldCharType="separate"/>
      </w:r>
      <w:r>
        <w:rPr>
          <w:rFonts w:hint="eastAsia"/>
          <w:highlight w:val="cyan"/>
        </w:rPr>
        <w:t>建设</w:t>
      </w:r>
      <w:r>
        <w:rPr>
          <w:rFonts w:hint="eastAsia"/>
          <w:highlight w:val="cyan"/>
        </w:rPr>
        <w:fldChar w:fldCharType="end"/>
      </w:r>
      <w:r>
        <w:rPr>
          <w:rFonts w:hint="eastAsia"/>
          <w:highlight w:val="cyan"/>
        </w:rPr>
        <w:t>项目上担任施工项目负责人。</w:t>
      </w:r>
    </w:p>
    <w:p>
      <w:pPr>
        <w:ind w:left="181" w:leftChars="86" w:firstLine="420" w:firstLineChars="200"/>
        <w:rPr>
          <w:highlight w:val="cyan"/>
        </w:rPr>
      </w:pPr>
      <w:r>
        <w:rPr>
          <w:rFonts w:hint="eastAsia"/>
          <w:highlight w:val="cyan"/>
        </w:rPr>
        <w:t>9、加强建筑施工现场工程质量、安全生产文明施工及扬尘治理管理，遵守主管部门关于大气污染防治采取的停工要求。</w:t>
      </w:r>
    </w:p>
    <w:p>
      <w:pPr>
        <w:ind w:left="181" w:leftChars="86" w:firstLine="420" w:firstLineChars="200"/>
        <w:rPr>
          <w:highlight w:val="cyan"/>
        </w:rPr>
      </w:pPr>
      <w:r>
        <w:rPr>
          <w:rFonts w:hint="eastAsia"/>
          <w:highlight w:val="cyan"/>
        </w:rPr>
        <w:t>10、加强对分包和劳务分包管理，对所分包工程的安全、质量和进度承担责任，不拖欠农民工工资。</w:t>
      </w:r>
    </w:p>
    <w:p>
      <w:pPr>
        <w:ind w:left="181" w:leftChars="86" w:firstLine="420" w:firstLineChars="200"/>
        <w:rPr>
          <w:highlight w:val="cyan"/>
        </w:rPr>
      </w:pPr>
      <w:r>
        <w:rPr>
          <w:rFonts w:hint="eastAsia"/>
          <w:highlight w:val="cyan"/>
        </w:rPr>
        <w:t>11、保证</w:t>
      </w:r>
      <w:r>
        <w:fldChar w:fldCharType="begin"/>
      </w:r>
      <w:r>
        <w:instrText xml:space="preserve"> HYPERLINK "http://www.cbi360.net/" \t "_blank" </w:instrText>
      </w:r>
      <w:r>
        <w:fldChar w:fldCharType="separate"/>
      </w:r>
      <w:r>
        <w:rPr>
          <w:rFonts w:hint="eastAsia"/>
          <w:highlight w:val="cyan"/>
        </w:rPr>
        <w:t>建筑</w:t>
      </w:r>
      <w:r>
        <w:rPr>
          <w:rFonts w:hint="eastAsia"/>
          <w:highlight w:val="cyan"/>
        </w:rPr>
        <w:fldChar w:fldCharType="end"/>
      </w:r>
      <w:r>
        <w:rPr>
          <w:rFonts w:hint="eastAsia"/>
          <w:highlight w:val="cyan"/>
        </w:rPr>
        <w:t>材料符合相关标准和设计要求，不使用未经检测或者检测质量不合格的建筑材料。</w:t>
      </w:r>
    </w:p>
    <w:p>
      <w:pPr>
        <w:ind w:left="181" w:leftChars="86" w:firstLine="420" w:firstLineChars="200"/>
        <w:rPr>
          <w:highlight w:val="cyan"/>
        </w:rPr>
      </w:pPr>
      <w:r>
        <w:rPr>
          <w:rFonts w:hint="eastAsia"/>
          <w:highlight w:val="cyan"/>
        </w:rPr>
        <w:t>12、本公司承诺，本公司在本次投标之前，不存在失信、被限制投标等行为。</w:t>
      </w:r>
    </w:p>
    <w:p>
      <w:pPr>
        <w:ind w:left="181" w:leftChars="86" w:firstLine="420" w:firstLineChars="200"/>
        <w:rPr>
          <w:highlight w:val="cyan"/>
        </w:rPr>
      </w:pPr>
      <w:r>
        <w:rPr>
          <w:rFonts w:hint="eastAsia"/>
          <w:highlight w:val="cyan"/>
        </w:rPr>
        <w:t>13、自觉接受行政主管部门对本承诺执行情况的监督检查及依法做出的取消投标（中标）资格、投标保证金不予退还、实施不良行为记录、取消（暂停）投标资格、罚款等行政处罚。</w:t>
      </w:r>
    </w:p>
    <w:p>
      <w:pPr>
        <w:ind w:left="181" w:leftChars="86" w:firstLine="420" w:firstLineChars="200"/>
        <w:rPr>
          <w:highlight w:val="cyan"/>
        </w:rPr>
      </w:pPr>
    </w:p>
    <w:p>
      <w:pPr>
        <w:ind w:left="181" w:leftChars="86" w:firstLine="420" w:firstLineChars="200"/>
        <w:rPr>
          <w:highlight w:val="cyan"/>
        </w:rPr>
      </w:pPr>
    </w:p>
    <w:p>
      <w:pPr>
        <w:ind w:left="181" w:leftChars="86" w:firstLine="420" w:firstLineChars="200"/>
        <w:rPr>
          <w:highlight w:val="cyan"/>
        </w:rPr>
      </w:pPr>
    </w:p>
    <w:p>
      <w:pPr>
        <w:ind w:left="181" w:leftChars="86" w:firstLine="420" w:firstLineChars="200"/>
        <w:rPr>
          <w:highlight w:val="cyan"/>
        </w:rPr>
      </w:pPr>
    </w:p>
    <w:p>
      <w:pPr>
        <w:ind w:left="181" w:leftChars="86" w:firstLine="420" w:firstLineChars="200"/>
        <w:rPr>
          <w:highlight w:val="yellow"/>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line="360" w:lineRule="exact"/>
        <w:ind w:firstLine="5040" w:firstLineChars="2400"/>
        <w:rPr>
          <w:szCs w:val="21"/>
        </w:rPr>
      </w:pPr>
    </w:p>
    <w:p>
      <w:pPr>
        <w:spacing w:beforeLines="100" w:afterLines="50" w:line="510" w:lineRule="exact"/>
        <w:jc w:val="center"/>
        <w:outlineLvl w:val="0"/>
        <w:rPr>
          <w:rFonts w:ascii="黑体" w:hAnsi="宋体" w:eastAsia="黑体"/>
          <w:sz w:val="24"/>
        </w:rPr>
      </w:pPr>
      <w:r>
        <w:rPr>
          <w:rFonts w:hint="eastAsia" w:ascii="黑体" w:hAnsi="宋体" w:eastAsia="黑体"/>
          <w:sz w:val="24"/>
        </w:rPr>
        <w:t>（三）投标函附录</w:t>
      </w:r>
    </w:p>
    <w:p>
      <w:pPr>
        <w:rPr>
          <w:rFonts w:ascii="宋体" w:hAnsi="宋体"/>
          <w:szCs w:val="21"/>
        </w:rPr>
      </w:pPr>
      <w:r>
        <w:rPr>
          <w:rFonts w:hint="eastAsia" w:ascii="宋体" w:hAnsi="宋体"/>
          <w:b/>
          <w:szCs w:val="21"/>
        </w:rPr>
        <w:t>工程名称：</w:t>
      </w:r>
      <w:r>
        <w:rPr>
          <w:rFonts w:hint="eastAsia" w:ascii="宋体" w:hAnsi="宋体"/>
          <w:szCs w:val="21"/>
        </w:rPr>
        <w:t>（项目名称）标段</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Cs w:val="21"/>
              </w:rPr>
            </w:pPr>
            <w:r>
              <w:rPr>
                <w:rFonts w:hint="eastAsia" w:ascii="宋体" w:hAnsi="宋体"/>
                <w:szCs w:val="21"/>
              </w:rPr>
              <w:t>序 号</w:t>
            </w:r>
          </w:p>
        </w:tc>
        <w:tc>
          <w:tcPr>
            <w:tcW w:w="2693" w:type="dxa"/>
            <w:vAlign w:val="center"/>
          </w:tcPr>
          <w:p>
            <w:pPr>
              <w:jc w:val="center"/>
              <w:rPr>
                <w:rFonts w:ascii="宋体" w:hAnsi="宋体"/>
                <w:szCs w:val="21"/>
              </w:rPr>
            </w:pPr>
            <w:r>
              <w:rPr>
                <w:rFonts w:hint="eastAsia" w:ascii="宋体" w:hAnsi="宋体"/>
                <w:szCs w:val="21"/>
              </w:rPr>
              <w:t>条款内容</w:t>
            </w:r>
          </w:p>
        </w:tc>
        <w:tc>
          <w:tcPr>
            <w:tcW w:w="1418" w:type="dxa"/>
            <w:vAlign w:val="center"/>
          </w:tcPr>
          <w:p>
            <w:pPr>
              <w:jc w:val="center"/>
              <w:rPr>
                <w:rFonts w:ascii="宋体" w:hAnsi="宋体"/>
                <w:szCs w:val="21"/>
              </w:rPr>
            </w:pPr>
            <w:r>
              <w:rPr>
                <w:rFonts w:hint="eastAsia" w:ascii="宋体" w:hAnsi="宋体"/>
                <w:szCs w:val="21"/>
              </w:rPr>
              <w:t>合同条款号</w:t>
            </w:r>
          </w:p>
        </w:tc>
        <w:tc>
          <w:tcPr>
            <w:tcW w:w="1906" w:type="dxa"/>
            <w:vAlign w:val="center"/>
          </w:tcPr>
          <w:p>
            <w:pPr>
              <w:jc w:val="center"/>
              <w:rPr>
                <w:rFonts w:ascii="宋体" w:hAnsi="宋体"/>
                <w:szCs w:val="21"/>
              </w:rPr>
            </w:pPr>
            <w:r>
              <w:rPr>
                <w:rFonts w:hint="eastAsia" w:ascii="宋体" w:hAnsi="宋体"/>
                <w:szCs w:val="21"/>
              </w:rPr>
              <w:t>约定内容</w:t>
            </w:r>
          </w:p>
        </w:tc>
        <w:tc>
          <w:tcPr>
            <w:tcW w:w="163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1.1.2.4</w:t>
            </w:r>
          </w:p>
        </w:tc>
        <w:tc>
          <w:tcPr>
            <w:tcW w:w="1906" w:type="dxa"/>
            <w:vAlign w:val="center"/>
          </w:tcPr>
          <w:p>
            <w:pPr>
              <w:rPr>
                <w:rFonts w:ascii="宋体" w:hAnsi="宋体"/>
                <w:szCs w:val="21"/>
              </w:rPr>
            </w:pPr>
            <w:r>
              <w:rPr>
                <w:rFonts w:hint="eastAsia" w:ascii="宋体" w:hAnsi="宋体"/>
                <w:szCs w:val="21"/>
              </w:rPr>
              <w:t>姓名：</w:t>
            </w: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2</w:t>
            </w:r>
          </w:p>
        </w:tc>
        <w:tc>
          <w:tcPr>
            <w:tcW w:w="2693" w:type="dxa"/>
            <w:vAlign w:val="center"/>
          </w:tcPr>
          <w:p>
            <w:pPr>
              <w:rPr>
                <w:rFonts w:ascii="宋体" w:hAnsi="宋体"/>
                <w:szCs w:val="21"/>
              </w:rPr>
            </w:pPr>
            <w:r>
              <w:rPr>
                <w:rFonts w:hint="eastAsia" w:ascii="宋体" w:hAnsi="宋体"/>
                <w:szCs w:val="21"/>
              </w:rPr>
              <w:t>工期</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1.1.4.3</w:t>
            </w:r>
          </w:p>
        </w:tc>
        <w:tc>
          <w:tcPr>
            <w:tcW w:w="1906" w:type="dxa"/>
            <w:vAlign w:val="center"/>
          </w:tcPr>
          <w:p>
            <w:pPr>
              <w:jc w:val="center"/>
              <w:rPr>
                <w:rFonts w:ascii="宋体" w:hAnsi="宋体"/>
                <w:szCs w:val="21"/>
              </w:rPr>
            </w:pPr>
            <w:r>
              <w:rPr>
                <w:rFonts w:hint="eastAsia" w:ascii="宋体" w:hAnsi="宋体"/>
                <w:szCs w:val="21"/>
              </w:rPr>
              <w:t>日历天</w:t>
            </w: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1.1.4.5</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4</w:t>
            </w:r>
          </w:p>
        </w:tc>
        <w:tc>
          <w:tcPr>
            <w:tcW w:w="2693" w:type="dxa"/>
            <w:vAlign w:val="center"/>
          </w:tcPr>
          <w:p>
            <w:pPr>
              <w:rPr>
                <w:rFonts w:ascii="宋体" w:hAnsi="宋体"/>
                <w:szCs w:val="21"/>
              </w:rPr>
            </w:pPr>
            <w:r>
              <w:rPr>
                <w:rFonts w:hint="eastAsia" w:ascii="宋体" w:hAnsi="宋体"/>
                <w:szCs w:val="21"/>
              </w:rPr>
              <w:t>承包人履约担保金额</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4.2</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5</w:t>
            </w:r>
          </w:p>
        </w:tc>
        <w:tc>
          <w:tcPr>
            <w:tcW w:w="2693" w:type="dxa"/>
            <w:vAlign w:val="center"/>
          </w:tcPr>
          <w:p>
            <w:pPr>
              <w:rPr>
                <w:rFonts w:ascii="宋体" w:hAnsi="宋体"/>
                <w:szCs w:val="21"/>
              </w:rPr>
            </w:pPr>
            <w:r>
              <w:rPr>
                <w:rFonts w:hint="eastAsia" w:ascii="宋体" w:hAnsi="宋体"/>
                <w:szCs w:val="21"/>
              </w:rPr>
              <w:t>分包</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4.3.4</w:t>
            </w:r>
          </w:p>
        </w:tc>
        <w:tc>
          <w:tcPr>
            <w:tcW w:w="1906" w:type="dxa"/>
            <w:vAlign w:val="center"/>
          </w:tcPr>
          <w:p>
            <w:pPr>
              <w:jc w:val="center"/>
              <w:rPr>
                <w:rFonts w:ascii="宋体" w:hAnsi="宋体"/>
                <w:szCs w:val="21"/>
              </w:rPr>
            </w:pPr>
            <w:r>
              <w:rPr>
                <w:rFonts w:hint="eastAsia" w:ascii="宋体" w:hAnsi="宋体"/>
                <w:szCs w:val="21"/>
              </w:rPr>
              <w:t>见分包项目情况表</w:t>
            </w: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6</w:t>
            </w:r>
          </w:p>
        </w:tc>
        <w:tc>
          <w:tcPr>
            <w:tcW w:w="2693" w:type="dxa"/>
            <w:vAlign w:val="center"/>
          </w:tcPr>
          <w:p>
            <w:pPr>
              <w:rPr>
                <w:rFonts w:ascii="宋体" w:hAnsi="宋体"/>
                <w:szCs w:val="21"/>
              </w:rPr>
            </w:pPr>
            <w:r>
              <w:rPr>
                <w:rFonts w:hint="eastAsia" w:ascii="宋体" w:hAnsi="宋体"/>
                <w:szCs w:val="21"/>
              </w:rPr>
              <w:t>逾期竣工违约金</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11.5</w:t>
            </w:r>
          </w:p>
        </w:tc>
        <w:tc>
          <w:tcPr>
            <w:tcW w:w="1906" w:type="dxa"/>
            <w:vAlign w:val="center"/>
          </w:tcPr>
          <w:p>
            <w:pPr>
              <w:jc w:val="center"/>
              <w:rPr>
                <w:rFonts w:ascii="宋体" w:hAnsi="宋体"/>
                <w:szCs w:val="21"/>
              </w:rPr>
            </w:pPr>
            <w:r>
              <w:rPr>
                <w:rFonts w:hint="eastAsia" w:ascii="宋体" w:hAnsi="宋体"/>
                <w:szCs w:val="21"/>
              </w:rPr>
              <w:t>元/天</w:t>
            </w: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7</w:t>
            </w:r>
          </w:p>
        </w:tc>
        <w:tc>
          <w:tcPr>
            <w:tcW w:w="2693" w:type="dxa"/>
            <w:vAlign w:val="center"/>
          </w:tcPr>
          <w:p>
            <w:pPr>
              <w:rPr>
                <w:rFonts w:ascii="宋体" w:hAnsi="宋体"/>
                <w:szCs w:val="21"/>
              </w:rPr>
            </w:pPr>
            <w:r>
              <w:rPr>
                <w:rFonts w:hint="eastAsia" w:ascii="宋体" w:hAnsi="宋体"/>
                <w:szCs w:val="21"/>
              </w:rPr>
              <w:t>逾期竣工违约金最高限额</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11.5</w:t>
            </w:r>
          </w:p>
        </w:tc>
        <w:tc>
          <w:tcPr>
            <w:tcW w:w="1906" w:type="dxa"/>
            <w:vAlign w:val="center"/>
          </w:tcPr>
          <w:p>
            <w:pP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8</w:t>
            </w:r>
          </w:p>
        </w:tc>
        <w:tc>
          <w:tcPr>
            <w:tcW w:w="2693" w:type="dxa"/>
            <w:vAlign w:val="center"/>
          </w:tcPr>
          <w:p>
            <w:pPr>
              <w:rPr>
                <w:rFonts w:ascii="宋体" w:hAnsi="宋体"/>
                <w:szCs w:val="21"/>
              </w:rPr>
            </w:pPr>
            <w:r>
              <w:rPr>
                <w:rFonts w:hint="eastAsia" w:ascii="宋体" w:hAnsi="宋体"/>
                <w:szCs w:val="21"/>
              </w:rPr>
              <w:t>质量标准</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13.1</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9</w:t>
            </w:r>
          </w:p>
        </w:tc>
        <w:tc>
          <w:tcPr>
            <w:tcW w:w="2693" w:type="dxa"/>
            <w:vAlign w:val="center"/>
          </w:tcPr>
          <w:p>
            <w:pPr>
              <w:rPr>
                <w:rFonts w:ascii="宋体" w:hAnsi="宋体"/>
                <w:szCs w:val="21"/>
              </w:rPr>
            </w:pPr>
            <w:r>
              <w:rPr>
                <w:rFonts w:hint="eastAsia" w:ascii="宋体" w:hAnsi="宋体"/>
                <w:szCs w:val="21"/>
              </w:rPr>
              <w:t>价格调整的差额计算</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16.1.1</w:t>
            </w:r>
          </w:p>
        </w:tc>
        <w:tc>
          <w:tcPr>
            <w:tcW w:w="1906" w:type="dxa"/>
            <w:vAlign w:val="center"/>
          </w:tcPr>
          <w:p>
            <w:pPr>
              <w:jc w:val="center"/>
              <w:rPr>
                <w:rFonts w:ascii="宋体" w:hAnsi="宋体"/>
                <w:szCs w:val="21"/>
              </w:rPr>
            </w:pPr>
            <w:r>
              <w:rPr>
                <w:rFonts w:hint="eastAsia" w:ascii="宋体" w:hAnsi="宋体"/>
                <w:szCs w:val="21"/>
              </w:rPr>
              <w:t>见价格指数权重表</w:t>
            </w: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10</w:t>
            </w:r>
          </w:p>
        </w:tc>
        <w:tc>
          <w:tcPr>
            <w:tcW w:w="2693" w:type="dxa"/>
            <w:vAlign w:val="center"/>
          </w:tcPr>
          <w:p>
            <w:pPr>
              <w:rPr>
                <w:rFonts w:ascii="宋体" w:hAnsi="宋体"/>
                <w:szCs w:val="21"/>
              </w:rPr>
            </w:pPr>
            <w:r>
              <w:rPr>
                <w:rFonts w:hint="eastAsia" w:ascii="宋体" w:hAnsi="宋体"/>
                <w:szCs w:val="21"/>
              </w:rPr>
              <w:t>预付款额度</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17.2.1</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11</w:t>
            </w:r>
          </w:p>
        </w:tc>
        <w:tc>
          <w:tcPr>
            <w:tcW w:w="2693" w:type="dxa"/>
            <w:vAlign w:val="center"/>
          </w:tcPr>
          <w:p>
            <w:pPr>
              <w:rPr>
                <w:rFonts w:ascii="宋体" w:hAnsi="宋体"/>
                <w:szCs w:val="21"/>
              </w:rPr>
            </w:pPr>
            <w:r>
              <w:rPr>
                <w:rFonts w:hint="eastAsia" w:ascii="宋体" w:hAnsi="宋体"/>
                <w:szCs w:val="21"/>
              </w:rPr>
              <w:t>预付款保函金额</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17.2.2</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黑体" w:hAnsi="宋体" w:eastAsia="黑体"/>
                <w:szCs w:val="21"/>
              </w:rPr>
            </w:pPr>
            <w:r>
              <w:rPr>
                <w:rFonts w:hint="eastAsia" w:ascii="黑体" w:hAnsi="宋体" w:eastAsia="黑体"/>
                <w:szCs w:val="21"/>
              </w:rPr>
              <w:t>12</w:t>
            </w:r>
          </w:p>
        </w:tc>
        <w:tc>
          <w:tcPr>
            <w:tcW w:w="2693" w:type="dxa"/>
            <w:vAlign w:val="center"/>
          </w:tcPr>
          <w:p>
            <w:pPr>
              <w:rPr>
                <w:rFonts w:ascii="宋体" w:hAnsi="宋体"/>
                <w:szCs w:val="21"/>
              </w:rPr>
            </w:pPr>
            <w:r>
              <w:rPr>
                <w:rFonts w:hint="eastAsia" w:ascii="宋体" w:hAnsi="宋体"/>
                <w:szCs w:val="21"/>
              </w:rPr>
              <w:t>质量保证金扣留百分比</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17.4.1</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Cs w:val="21"/>
              </w:rPr>
            </w:pPr>
          </w:p>
        </w:tc>
        <w:tc>
          <w:tcPr>
            <w:tcW w:w="2693" w:type="dxa"/>
            <w:vAlign w:val="center"/>
          </w:tcPr>
          <w:p>
            <w:pPr>
              <w:rPr>
                <w:rFonts w:ascii="宋体" w:hAnsi="宋体"/>
                <w:szCs w:val="21"/>
              </w:rPr>
            </w:pPr>
            <w:r>
              <w:rPr>
                <w:rFonts w:hint="eastAsia" w:ascii="宋体" w:hAnsi="宋体"/>
                <w:szCs w:val="21"/>
              </w:rPr>
              <w:t>质量保证金额度</w:t>
            </w:r>
          </w:p>
        </w:tc>
        <w:tc>
          <w:tcPr>
            <w:tcW w:w="1418" w:type="dxa"/>
            <w:tcMar>
              <w:left w:w="170" w:type="dxa"/>
            </w:tcMar>
            <w:vAlign w:val="center"/>
          </w:tcPr>
          <w:p>
            <w:pPr>
              <w:rPr>
                <w:rFonts w:ascii="黑体" w:hAnsi="宋体" w:eastAsia="黑体"/>
                <w:szCs w:val="21"/>
              </w:rPr>
            </w:pPr>
            <w:r>
              <w:rPr>
                <w:rFonts w:hint="eastAsia" w:ascii="黑体" w:hAnsi="宋体" w:eastAsia="黑体"/>
                <w:szCs w:val="21"/>
              </w:rPr>
              <w:t>17.4.1</w:t>
            </w: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Cs w:val="21"/>
              </w:rPr>
            </w:pPr>
            <w:r>
              <w:rPr>
                <w:rFonts w:hint="eastAsia" w:ascii="宋体" w:hAnsi="宋体"/>
                <w:szCs w:val="21"/>
              </w:rPr>
              <w:t>……</w:t>
            </w:r>
          </w:p>
        </w:tc>
        <w:tc>
          <w:tcPr>
            <w:tcW w:w="2693" w:type="dxa"/>
            <w:vAlign w:val="center"/>
          </w:tcPr>
          <w:p>
            <w:pPr>
              <w:jc w:val="center"/>
              <w:rPr>
                <w:rFonts w:ascii="宋体" w:hAnsi="宋体"/>
                <w:szCs w:val="21"/>
              </w:rPr>
            </w:pPr>
            <w:r>
              <w:rPr>
                <w:rFonts w:hint="eastAsia" w:ascii="宋体" w:hAnsi="宋体"/>
                <w:szCs w:val="21"/>
              </w:rPr>
              <w:t>……</w:t>
            </w:r>
          </w:p>
        </w:tc>
        <w:tc>
          <w:tcPr>
            <w:tcW w:w="1418" w:type="dxa"/>
            <w:vAlign w:val="center"/>
          </w:tcPr>
          <w:p>
            <w:pPr>
              <w:jc w:val="center"/>
              <w:rPr>
                <w:rFonts w:ascii="宋体" w:hAnsi="宋体"/>
                <w:szCs w:val="21"/>
              </w:rPr>
            </w:pPr>
          </w:p>
        </w:tc>
        <w:tc>
          <w:tcPr>
            <w:tcW w:w="1906" w:type="dxa"/>
            <w:vAlign w:val="center"/>
          </w:tcPr>
          <w:p>
            <w:pPr>
              <w:jc w:val="center"/>
              <w:rPr>
                <w:rFonts w:ascii="宋体" w:hAnsi="宋体"/>
                <w:szCs w:val="21"/>
              </w:rPr>
            </w:pPr>
          </w:p>
        </w:tc>
        <w:tc>
          <w:tcPr>
            <w:tcW w:w="163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pPr>
              <w:rPr>
                <w:rFonts w:ascii="宋体" w:hAnsi="宋体"/>
                <w:b/>
                <w:szCs w:val="21"/>
              </w:rPr>
            </w:pPr>
            <w:r>
              <w:rPr>
                <w:rFonts w:hint="eastAsia" w:ascii="黑体" w:hAnsi="宋体" w:eastAsia="黑体"/>
                <w:b/>
                <w:szCs w:val="21"/>
              </w:rPr>
              <w:t>备注：</w:t>
            </w:r>
            <w:r>
              <w:rPr>
                <w:rFonts w:hint="eastAsia" w:ascii="宋体" w:hAnsi="宋体"/>
                <w:b/>
                <w:szCs w:val="21"/>
              </w:rPr>
              <w:t>投标人在响应招标文件中规定的实质性要求和条件的基础上，可做出其他有利于招标人的承诺。此类承诺可在本表中予以补充填写。如没有，则不需要填写。</w:t>
            </w:r>
          </w:p>
        </w:tc>
      </w:tr>
    </w:tbl>
    <w:p>
      <w:pPr>
        <w:spacing w:line="360" w:lineRule="exact"/>
        <w:ind w:firstLine="5060" w:firstLineChars="2400"/>
        <w:rPr>
          <w:szCs w:val="21"/>
        </w:rPr>
      </w:pPr>
      <w:r>
        <w:rPr>
          <w:rFonts w:ascii="宋体" w:hAnsi="宋体"/>
          <w:b/>
          <w:szCs w:val="21"/>
        </w:rPr>
        <w:br w:type="page"/>
      </w:r>
    </w:p>
    <w:p>
      <w:pPr>
        <w:spacing w:beforeLines="100" w:afterLines="50"/>
        <w:jc w:val="center"/>
        <w:outlineLvl w:val="0"/>
        <w:rPr>
          <w:rFonts w:ascii="黑体" w:hAnsi="宋体" w:eastAsia="黑体"/>
          <w:sz w:val="28"/>
          <w:szCs w:val="28"/>
        </w:rPr>
      </w:pPr>
      <w:bookmarkStart w:id="760" w:name="_Toc269310994"/>
      <w:bookmarkStart w:id="761" w:name="_Toc312072330"/>
      <w:r>
        <w:rPr>
          <w:rFonts w:hint="eastAsia" w:ascii="黑体" w:hAnsi="宋体" w:eastAsia="黑体"/>
          <w:sz w:val="28"/>
          <w:szCs w:val="28"/>
        </w:rPr>
        <w:t>二、联合体协议书</w:t>
      </w:r>
    </w:p>
    <w:p>
      <w:pPr>
        <w:spacing w:line="394" w:lineRule="exact"/>
        <w:rPr>
          <w:rFonts w:ascii="宋体" w:hAnsi="宋体"/>
          <w:szCs w:val="21"/>
        </w:rPr>
      </w:pPr>
      <w:r>
        <w:rPr>
          <w:rFonts w:hint="eastAsia" w:ascii="宋体" w:hAnsi="宋体"/>
          <w:szCs w:val="21"/>
        </w:rPr>
        <w:t>牵头人名称：</w:t>
      </w:r>
    </w:p>
    <w:p>
      <w:pPr>
        <w:spacing w:line="394" w:lineRule="exact"/>
        <w:rPr>
          <w:rFonts w:ascii="宋体" w:hAnsi="宋体"/>
          <w:szCs w:val="21"/>
        </w:rPr>
      </w:pPr>
      <w:r>
        <w:rPr>
          <w:rFonts w:hint="eastAsia" w:ascii="宋体" w:hAnsi="宋体"/>
          <w:szCs w:val="21"/>
        </w:rPr>
        <w:t>法定代表人：</w:t>
      </w:r>
    </w:p>
    <w:p>
      <w:pPr>
        <w:spacing w:line="394" w:lineRule="exact"/>
        <w:rPr>
          <w:rFonts w:ascii="宋体" w:hAnsi="宋体"/>
          <w:szCs w:val="21"/>
        </w:rPr>
      </w:pPr>
      <w:r>
        <w:rPr>
          <w:rFonts w:hint="eastAsia" w:ascii="宋体" w:hAnsi="宋体"/>
          <w:szCs w:val="21"/>
        </w:rPr>
        <w:t>法定住所：</w:t>
      </w:r>
    </w:p>
    <w:p>
      <w:pPr>
        <w:spacing w:line="394" w:lineRule="exact"/>
        <w:rPr>
          <w:rFonts w:ascii="宋体" w:hAnsi="宋体"/>
          <w:szCs w:val="21"/>
        </w:rPr>
      </w:pPr>
      <w:r>
        <w:rPr>
          <w:rFonts w:hint="eastAsia" w:ascii="宋体" w:hAnsi="宋体"/>
          <w:szCs w:val="21"/>
        </w:rPr>
        <w:t>成员二名称：</w:t>
      </w:r>
    </w:p>
    <w:p>
      <w:pPr>
        <w:spacing w:line="394" w:lineRule="exact"/>
        <w:rPr>
          <w:rFonts w:ascii="宋体" w:hAnsi="宋体"/>
          <w:szCs w:val="21"/>
        </w:rPr>
      </w:pPr>
      <w:r>
        <w:rPr>
          <w:rFonts w:hint="eastAsia" w:ascii="宋体" w:hAnsi="宋体"/>
          <w:szCs w:val="21"/>
        </w:rPr>
        <w:t>法定代表人：</w:t>
      </w:r>
    </w:p>
    <w:p>
      <w:pPr>
        <w:spacing w:line="394" w:lineRule="exact"/>
        <w:rPr>
          <w:rFonts w:ascii="宋体" w:hAnsi="宋体"/>
          <w:szCs w:val="21"/>
          <w:u w:val="single"/>
        </w:rPr>
      </w:pPr>
      <w:r>
        <w:rPr>
          <w:rFonts w:hint="eastAsia" w:ascii="宋体" w:hAnsi="宋体"/>
          <w:szCs w:val="21"/>
        </w:rPr>
        <w:t>法定住所：</w:t>
      </w:r>
    </w:p>
    <w:p>
      <w:pPr>
        <w:spacing w:line="394" w:lineRule="exact"/>
        <w:ind w:firstLine="525" w:firstLineChars="250"/>
        <w:rPr>
          <w:rFonts w:ascii="宋体" w:hAnsi="宋体"/>
          <w:szCs w:val="21"/>
        </w:rPr>
      </w:pPr>
      <w:r>
        <w:rPr>
          <w:rFonts w:hint="eastAsia" w:ascii="宋体" w:hAnsi="宋体"/>
          <w:szCs w:val="21"/>
        </w:rPr>
        <w:t>……</w:t>
      </w:r>
    </w:p>
    <w:p>
      <w:pPr>
        <w:spacing w:line="394" w:lineRule="exact"/>
        <w:ind w:firstLine="420" w:firstLineChars="200"/>
        <w:rPr>
          <w:rFonts w:ascii="宋体" w:hAnsi="宋体"/>
          <w:szCs w:val="21"/>
        </w:rPr>
      </w:pPr>
      <w:r>
        <w:rPr>
          <w:rFonts w:hint="eastAsia" w:ascii="宋体" w:hAnsi="宋体"/>
          <w:szCs w:val="21"/>
        </w:rPr>
        <w:t>鉴于上述各成员单位经过友好协商，自愿组成（联合体名称）联合体，共同参加</w:t>
      </w:r>
    </w:p>
    <w:p>
      <w:pPr>
        <w:spacing w:line="394" w:lineRule="exact"/>
        <w:rPr>
          <w:rFonts w:ascii="宋体" w:hAnsi="宋体"/>
          <w:szCs w:val="21"/>
        </w:rPr>
      </w:pPr>
      <w:r>
        <w:rPr>
          <w:rFonts w:hint="eastAsia" w:ascii="宋体" w:hAnsi="宋体"/>
          <w:szCs w:val="21"/>
        </w:rPr>
        <w:t>（招标人名称）（以下简称招标人）（项目名称）标段（以下简称本工程）的施工投标并争取赢得本工程施工承包合同（以下简称合同）。现就联合体投标事宜订立如下协议：</w:t>
      </w:r>
    </w:p>
    <w:p>
      <w:pPr>
        <w:spacing w:line="394" w:lineRule="exact"/>
        <w:ind w:firstLine="420" w:firstLineChars="200"/>
        <w:rPr>
          <w:rFonts w:ascii="宋体" w:hAnsi="宋体"/>
          <w:szCs w:val="21"/>
        </w:rPr>
      </w:pPr>
      <w:r>
        <w:rPr>
          <w:rFonts w:hint="eastAsia" w:ascii="宋体" w:hAnsi="宋体"/>
          <w:szCs w:val="21"/>
        </w:rPr>
        <w:t>1．（某成员单位名称）为（联合体名称）牵头人。</w:t>
      </w:r>
    </w:p>
    <w:p>
      <w:pPr>
        <w:spacing w:line="394"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94" w:lineRule="exact"/>
        <w:ind w:firstLine="420" w:firstLineChars="200"/>
        <w:rPr>
          <w:rFonts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20" w:firstLineChars="200"/>
        <w:rPr>
          <w:rFonts w:ascii="宋体" w:hAnsi="宋体"/>
          <w:szCs w:val="21"/>
        </w:rPr>
      </w:pPr>
      <w:r>
        <w:rPr>
          <w:rFonts w:hint="eastAsia" w:ascii="宋体" w:hAnsi="宋体"/>
          <w:szCs w:val="21"/>
        </w:rPr>
        <w:t>4．联合体各成员单位内部的职责分工如下：。按照本条上述分工，联合体成员单位各自所承担的合同工作量比例如下：。</w:t>
      </w:r>
    </w:p>
    <w:p>
      <w:pPr>
        <w:spacing w:line="394" w:lineRule="exact"/>
        <w:ind w:firstLine="420" w:firstLineChars="200"/>
        <w:rPr>
          <w:rFonts w:ascii="宋体" w:hAnsi="宋体"/>
          <w:szCs w:val="21"/>
        </w:rPr>
      </w:pPr>
      <w:r>
        <w:rPr>
          <w:rFonts w:hint="eastAsia" w:ascii="宋体" w:hAnsi="宋体"/>
          <w:szCs w:val="21"/>
        </w:rPr>
        <w:t>5．投标工作和联合体在中标后工程实施过程中的有关费用按各自承担的工作量分摊。</w:t>
      </w:r>
    </w:p>
    <w:p>
      <w:pPr>
        <w:spacing w:line="394"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pPr>
        <w:spacing w:line="394"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pPr>
        <w:spacing w:line="394" w:lineRule="exact"/>
        <w:ind w:firstLine="420" w:firstLineChars="200"/>
        <w:rPr>
          <w:rFonts w:ascii="宋体" w:hAnsi="宋体"/>
          <w:szCs w:val="21"/>
        </w:rPr>
      </w:pPr>
      <w:r>
        <w:rPr>
          <w:rFonts w:hint="eastAsia" w:ascii="宋体" w:hAnsi="宋体"/>
          <w:szCs w:val="21"/>
        </w:rPr>
        <w:t>8．本协议书一式份，联合体成员和招标人各执一份。</w:t>
      </w:r>
    </w:p>
    <w:p>
      <w:pPr>
        <w:spacing w:line="394" w:lineRule="exact"/>
        <w:ind w:firstLine="1785" w:firstLineChars="850"/>
        <w:rPr>
          <w:rFonts w:ascii="宋体" w:hAnsi="宋体"/>
          <w:szCs w:val="21"/>
          <w:highlight w:val="green"/>
        </w:rPr>
      </w:pPr>
      <w:r>
        <w:rPr>
          <w:rFonts w:hint="eastAsia" w:ascii="宋体" w:hAnsi="宋体"/>
          <w:szCs w:val="21"/>
          <w:highlight w:val="green"/>
        </w:rPr>
        <w:t>牵头人名称：</w:t>
      </w:r>
    </w:p>
    <w:p>
      <w:pPr>
        <w:spacing w:line="394" w:lineRule="exact"/>
        <w:ind w:firstLine="1785" w:firstLineChars="850"/>
        <w:rPr>
          <w:rFonts w:ascii="宋体" w:hAnsi="宋体"/>
          <w:szCs w:val="21"/>
          <w:highlight w:val="green"/>
        </w:rPr>
      </w:pPr>
      <w:r>
        <w:rPr>
          <w:rFonts w:hint="eastAsia" w:ascii="宋体" w:hAnsi="宋体"/>
          <w:szCs w:val="21"/>
          <w:highlight w:val="green"/>
        </w:rPr>
        <w:t>法定代表人名称：</w:t>
      </w:r>
    </w:p>
    <w:p>
      <w:pPr>
        <w:spacing w:line="394" w:lineRule="exact"/>
        <w:ind w:firstLine="1785" w:firstLineChars="850"/>
        <w:rPr>
          <w:rFonts w:ascii="宋体" w:hAnsi="宋体"/>
          <w:szCs w:val="21"/>
          <w:highlight w:val="green"/>
        </w:rPr>
      </w:pPr>
    </w:p>
    <w:p>
      <w:pPr>
        <w:spacing w:line="394" w:lineRule="exact"/>
        <w:ind w:firstLine="1785" w:firstLineChars="850"/>
        <w:rPr>
          <w:rFonts w:ascii="宋体" w:hAnsi="宋体"/>
          <w:szCs w:val="21"/>
          <w:highlight w:val="green"/>
        </w:rPr>
      </w:pPr>
      <w:r>
        <w:rPr>
          <w:rFonts w:hint="eastAsia" w:ascii="宋体" w:hAnsi="宋体"/>
          <w:szCs w:val="21"/>
          <w:highlight w:val="green"/>
        </w:rPr>
        <w:t>成员二名称：</w:t>
      </w:r>
    </w:p>
    <w:p>
      <w:pPr>
        <w:spacing w:line="394" w:lineRule="exact"/>
        <w:ind w:firstLine="1785" w:firstLineChars="850"/>
        <w:rPr>
          <w:rFonts w:ascii="宋体" w:hAnsi="宋体"/>
          <w:szCs w:val="21"/>
          <w:highlight w:val="green"/>
        </w:rPr>
      </w:pPr>
      <w:r>
        <w:rPr>
          <w:rFonts w:hint="eastAsia" w:ascii="宋体" w:hAnsi="宋体"/>
          <w:szCs w:val="21"/>
          <w:highlight w:val="green"/>
        </w:rPr>
        <w:t>法定代表人名称：</w:t>
      </w:r>
    </w:p>
    <w:p>
      <w:pPr>
        <w:spacing w:line="394" w:lineRule="exact"/>
        <w:ind w:firstLine="2100" w:firstLineChars="1000"/>
        <w:rPr>
          <w:rFonts w:ascii="宋体" w:hAnsi="宋体"/>
          <w:szCs w:val="21"/>
        </w:rPr>
      </w:pPr>
      <w:r>
        <w:rPr>
          <w:rFonts w:hint="eastAsia" w:ascii="宋体" w:hAnsi="宋体"/>
          <w:szCs w:val="21"/>
        </w:rPr>
        <w:t>……</w:t>
      </w:r>
    </w:p>
    <w:p>
      <w:pPr>
        <w:spacing w:line="394" w:lineRule="exact"/>
        <w:ind w:firstLine="420" w:firstLineChars="200"/>
        <w:rPr>
          <w:rFonts w:ascii="宋体" w:hAnsi="宋体"/>
          <w:szCs w:val="21"/>
          <w:highlight w:val="green"/>
        </w:rPr>
      </w:pPr>
      <w:r>
        <w:rPr>
          <w:rFonts w:hint="eastAsia" w:ascii="宋体" w:hAnsi="宋体"/>
          <w:szCs w:val="21"/>
          <w:highlight w:val="green"/>
        </w:rPr>
        <w:t>注：为方便投标人投标，减少投标人电子签章次数，实行投标文件封面一次签章，此协议书落款处只需输入名称内容，无需电子签章，所填牵头人及成员名称、相应法定代表人名称与投标文件封面签章内容一致即可。</w:t>
      </w:r>
    </w:p>
    <w:p>
      <w:pPr>
        <w:pStyle w:val="66"/>
        <w:spacing w:before="240" w:after="240" w:line="360" w:lineRule="exact"/>
        <w:jc w:val="center"/>
        <w:rPr>
          <w:rFonts w:cs="Times New Roman"/>
          <w:sz w:val="32"/>
          <w:szCs w:val="32"/>
        </w:rPr>
      </w:pPr>
      <w:r>
        <w:rPr>
          <w:rFonts w:hint="eastAsia" w:cs="Times New Roman"/>
          <w:sz w:val="32"/>
          <w:szCs w:val="32"/>
        </w:rPr>
        <w:t>三</w:t>
      </w:r>
      <w:r>
        <w:rPr>
          <w:rFonts w:cs="Times New Roman"/>
          <w:sz w:val="32"/>
          <w:szCs w:val="32"/>
        </w:rPr>
        <w:t>、已标价的工程量清单</w:t>
      </w:r>
      <w:bookmarkEnd w:id="760"/>
      <w:bookmarkEnd w:id="761"/>
    </w:p>
    <w:p>
      <w:pPr>
        <w:pStyle w:val="12"/>
        <w:spacing w:line="360" w:lineRule="exact"/>
        <w:jc w:val="center"/>
        <w:rPr>
          <w:szCs w:val="21"/>
        </w:rPr>
      </w:pPr>
    </w:p>
    <w:p>
      <w:pPr>
        <w:spacing w:line="460" w:lineRule="exact"/>
        <w:rPr>
          <w:rFonts w:ascii="宋体" w:hAnsi="宋体"/>
          <w:sz w:val="24"/>
        </w:rPr>
      </w:pPr>
      <w:r>
        <w:rPr>
          <w:rFonts w:hint="eastAsia" w:ascii="黑体" w:hAnsi="宋体" w:eastAsia="黑体"/>
          <w:sz w:val="24"/>
        </w:rPr>
        <w:t>说明：</w:t>
      </w:r>
      <w:r>
        <w:rPr>
          <w:rFonts w:hint="eastAsia" w:ascii="宋体" w:hAnsi="宋体"/>
          <w:sz w:val="24"/>
        </w:rPr>
        <w:t>已标价工程量清单按第五章“工程量清单”中的相关清单表格式填写。构成合同文件的已标价工程量清单包括第五章“工程量清单”有关工程量清单、投标报价以及其他说明的内容。并符合《山东省建设工程工程量清单计价规则》（鲁建发[2011]3号文）的有关规定。</w:t>
      </w:r>
    </w:p>
    <w:p>
      <w:pPr>
        <w:pStyle w:val="12"/>
        <w:spacing w:line="360" w:lineRule="exact"/>
        <w:ind w:firstLine="480"/>
        <w:rPr>
          <w:rFonts w:eastAsia="仿宋_GB2312"/>
          <w:sz w:val="24"/>
        </w:rPr>
      </w:pPr>
    </w:p>
    <w:p>
      <w:pPr>
        <w:pStyle w:val="12"/>
        <w:spacing w:line="360" w:lineRule="exact"/>
        <w:ind w:firstLine="500"/>
        <w:rPr>
          <w:rFonts w:eastAsia="仿宋_GB2312"/>
          <w:sz w:val="25"/>
        </w:rPr>
      </w:pPr>
    </w:p>
    <w:p>
      <w:pPr>
        <w:pStyle w:val="12"/>
        <w:spacing w:line="360" w:lineRule="exact"/>
        <w:ind w:firstLine="500"/>
        <w:rPr>
          <w:rFonts w:eastAsia="仿宋_GB2312"/>
          <w:sz w:val="25"/>
        </w:rPr>
      </w:pPr>
    </w:p>
    <w:p>
      <w:pPr>
        <w:pStyle w:val="12"/>
        <w:spacing w:line="360" w:lineRule="exact"/>
        <w:ind w:firstLine="500"/>
        <w:rPr>
          <w:rFonts w:eastAsia="仿宋_GB2312"/>
          <w:sz w:val="25"/>
        </w:rPr>
      </w:pPr>
    </w:p>
    <w:p>
      <w:pPr>
        <w:pStyle w:val="12"/>
        <w:spacing w:line="360" w:lineRule="exact"/>
        <w:ind w:firstLine="500"/>
        <w:rPr>
          <w:rFonts w:eastAsia="仿宋_GB2312"/>
          <w:sz w:val="25"/>
        </w:rPr>
      </w:pPr>
    </w:p>
    <w:p>
      <w:pPr>
        <w:pStyle w:val="12"/>
        <w:spacing w:line="360" w:lineRule="exact"/>
        <w:ind w:firstLine="500"/>
        <w:rPr>
          <w:rFonts w:eastAsia="仿宋_GB2312"/>
          <w:sz w:val="25"/>
        </w:rPr>
      </w:pPr>
    </w:p>
    <w:p>
      <w:pPr>
        <w:pStyle w:val="12"/>
        <w:spacing w:line="360" w:lineRule="exact"/>
        <w:ind w:firstLine="500"/>
        <w:rPr>
          <w:rFonts w:eastAsia="仿宋_GB2312"/>
          <w:sz w:val="25"/>
        </w:rPr>
      </w:pPr>
    </w:p>
    <w:p>
      <w:pPr>
        <w:pStyle w:val="66"/>
        <w:spacing w:before="240" w:after="240" w:line="360" w:lineRule="exact"/>
        <w:jc w:val="center"/>
        <w:rPr>
          <w:rFonts w:cs="Times New Roman"/>
          <w:sz w:val="32"/>
          <w:szCs w:val="32"/>
        </w:rPr>
      </w:pPr>
      <w:r>
        <w:rPr>
          <w:b/>
          <w:sz w:val="30"/>
          <w:u w:val="single"/>
        </w:rPr>
        <w:br w:type="page"/>
      </w:r>
      <w:bookmarkStart w:id="762" w:name="_Toc152045796"/>
      <w:bookmarkStart w:id="763" w:name="_Toc152042585"/>
      <w:bookmarkStart w:id="764" w:name="_Toc269310995"/>
      <w:bookmarkStart w:id="765" w:name="_Toc312072331"/>
      <w:bookmarkStart w:id="766" w:name="_Toc144974864"/>
      <w:r>
        <w:rPr>
          <w:rFonts w:hint="eastAsia" w:cs="Times New Roman"/>
          <w:sz w:val="32"/>
          <w:szCs w:val="32"/>
        </w:rPr>
        <w:t>四</w:t>
      </w:r>
      <w:r>
        <w:rPr>
          <w:rFonts w:cs="Times New Roman"/>
          <w:sz w:val="32"/>
          <w:szCs w:val="32"/>
        </w:rPr>
        <w:t>、施工组织设计</w:t>
      </w:r>
      <w:bookmarkEnd w:id="762"/>
      <w:bookmarkEnd w:id="763"/>
      <w:bookmarkEnd w:id="764"/>
      <w:bookmarkEnd w:id="765"/>
      <w:bookmarkEnd w:id="766"/>
    </w:p>
    <w:p>
      <w:pPr>
        <w:spacing w:line="360" w:lineRule="exact"/>
        <w:rPr>
          <w:szCs w:val="21"/>
        </w:rPr>
      </w:pPr>
    </w:p>
    <w:p>
      <w:pPr>
        <w:tabs>
          <w:tab w:val="left" w:pos="720"/>
        </w:tabs>
        <w:spacing w:line="360" w:lineRule="exact"/>
        <w:ind w:firstLine="480" w:firstLineChars="200"/>
        <w:rPr>
          <w:rFonts w:ascii="宋体" w:hAnsi="宋体"/>
          <w:sz w:val="24"/>
        </w:rPr>
      </w:pPr>
      <w:bookmarkStart w:id="767" w:name="_Toc312072338"/>
      <w:bookmarkStart w:id="768" w:name="_Toc144974871"/>
      <w:bookmarkStart w:id="769" w:name="_Toc152045803"/>
      <w:bookmarkStart w:id="770" w:name="_Toc152042592"/>
      <w:r>
        <w:rPr>
          <w:rFonts w:ascii="宋体" w:hAnsi="宋体"/>
          <w:sz w:val="24"/>
        </w:rPr>
        <w:t>1.</w:t>
      </w:r>
      <w:r>
        <w:rPr>
          <w:rFonts w:hint="eastAsia" w:ascii="宋体" w:hAnsi="宋体"/>
          <w:sz w:val="24"/>
        </w:rPr>
        <w:t>投标人应根据招标文件和对现场的勘察情况，采用文字并结合图表形式，按照以下要点编制本工程的施工组织设计：</w:t>
      </w:r>
    </w:p>
    <w:p>
      <w:pPr>
        <w:tabs>
          <w:tab w:val="left" w:pos="720"/>
        </w:tabs>
        <w:spacing w:line="360" w:lineRule="exact"/>
        <w:ind w:firstLine="480" w:firstLineChars="200"/>
        <w:rPr>
          <w:sz w:val="24"/>
          <w:highlight w:val="cyan"/>
        </w:rPr>
      </w:pPr>
      <w:r>
        <w:rPr>
          <w:rFonts w:hint="eastAsia" w:ascii="宋体" w:hAnsi="宋体"/>
          <w:sz w:val="24"/>
          <w:highlight w:val="cyan"/>
        </w:rPr>
        <w:t>（1）</w:t>
      </w:r>
      <w:r>
        <w:rPr>
          <w:rFonts w:hint="eastAsia"/>
          <w:sz w:val="24"/>
          <w:highlight w:val="cyan"/>
        </w:rPr>
        <w:t>总体概述；</w:t>
      </w:r>
    </w:p>
    <w:p>
      <w:pPr>
        <w:tabs>
          <w:tab w:val="left" w:pos="720"/>
        </w:tabs>
        <w:spacing w:line="360" w:lineRule="exact"/>
        <w:ind w:firstLine="480" w:firstLineChars="200"/>
        <w:rPr>
          <w:sz w:val="24"/>
          <w:highlight w:val="cyan"/>
        </w:rPr>
      </w:pPr>
      <w:r>
        <w:rPr>
          <w:rFonts w:hint="eastAsia"/>
          <w:sz w:val="24"/>
          <w:highlight w:val="cyan"/>
        </w:rPr>
        <w:t>（2）施工现场布置；</w:t>
      </w:r>
    </w:p>
    <w:p>
      <w:pPr>
        <w:tabs>
          <w:tab w:val="left" w:pos="720"/>
        </w:tabs>
        <w:spacing w:line="360" w:lineRule="exact"/>
        <w:ind w:firstLine="480" w:firstLineChars="200"/>
        <w:rPr>
          <w:sz w:val="24"/>
          <w:highlight w:val="cyan"/>
        </w:rPr>
      </w:pPr>
      <w:r>
        <w:rPr>
          <w:rFonts w:hint="eastAsia"/>
          <w:sz w:val="24"/>
          <w:highlight w:val="cyan"/>
        </w:rPr>
        <w:t>（3）施工进度计划和进度保证措施；</w:t>
      </w:r>
    </w:p>
    <w:p>
      <w:pPr>
        <w:tabs>
          <w:tab w:val="left" w:pos="720"/>
        </w:tabs>
        <w:spacing w:line="360" w:lineRule="exact"/>
        <w:ind w:firstLine="480" w:firstLineChars="200"/>
        <w:rPr>
          <w:sz w:val="24"/>
          <w:highlight w:val="cyan"/>
        </w:rPr>
      </w:pPr>
      <w:r>
        <w:rPr>
          <w:rFonts w:hint="eastAsia"/>
          <w:sz w:val="24"/>
          <w:highlight w:val="cyan"/>
        </w:rPr>
        <w:t>（4）施工方案和质量保证；</w:t>
      </w:r>
    </w:p>
    <w:p>
      <w:pPr>
        <w:tabs>
          <w:tab w:val="left" w:pos="720"/>
        </w:tabs>
        <w:spacing w:line="360" w:lineRule="exact"/>
        <w:ind w:firstLine="480" w:firstLineChars="200"/>
        <w:rPr>
          <w:sz w:val="24"/>
          <w:highlight w:val="cyan"/>
        </w:rPr>
      </w:pPr>
      <w:r>
        <w:rPr>
          <w:rFonts w:hint="eastAsia"/>
          <w:sz w:val="24"/>
          <w:highlight w:val="cyan"/>
        </w:rPr>
        <w:t>（5）安全文明施工和环境保护措施；</w:t>
      </w:r>
    </w:p>
    <w:p>
      <w:pPr>
        <w:tabs>
          <w:tab w:val="left" w:pos="720"/>
        </w:tabs>
        <w:spacing w:line="360" w:lineRule="exact"/>
        <w:ind w:firstLine="480" w:firstLineChars="200"/>
        <w:rPr>
          <w:sz w:val="24"/>
          <w:highlight w:val="cyan"/>
        </w:rPr>
      </w:pPr>
      <w:r>
        <w:rPr>
          <w:rFonts w:hint="eastAsia"/>
          <w:sz w:val="24"/>
          <w:highlight w:val="cyan"/>
        </w:rPr>
        <w:t>（6）项目管理班子；</w:t>
      </w:r>
    </w:p>
    <w:p>
      <w:pPr>
        <w:tabs>
          <w:tab w:val="left" w:pos="720"/>
        </w:tabs>
        <w:spacing w:line="360" w:lineRule="exact"/>
        <w:ind w:firstLine="480" w:firstLineChars="200"/>
        <w:rPr>
          <w:sz w:val="24"/>
          <w:highlight w:val="cyan"/>
        </w:rPr>
      </w:pPr>
      <w:r>
        <w:rPr>
          <w:rFonts w:hint="eastAsia"/>
          <w:sz w:val="24"/>
          <w:highlight w:val="cyan"/>
        </w:rPr>
        <w:t>（7）劳动力、材料投入计划及保证措施、机械设备投入计划；</w:t>
      </w:r>
    </w:p>
    <w:p>
      <w:pPr>
        <w:tabs>
          <w:tab w:val="left" w:pos="720"/>
        </w:tabs>
        <w:spacing w:line="360" w:lineRule="exact"/>
        <w:ind w:firstLine="480" w:firstLineChars="200"/>
        <w:rPr>
          <w:sz w:val="24"/>
          <w:highlight w:val="cyan"/>
        </w:rPr>
      </w:pPr>
      <w:r>
        <w:rPr>
          <w:rFonts w:hint="eastAsia"/>
          <w:sz w:val="24"/>
          <w:highlight w:val="cyan"/>
        </w:rPr>
        <w:t>（8）针对项目实际情况关键施工技术、工艺及工程项目实施的重点、难点分析和解决方案；</w:t>
      </w:r>
    </w:p>
    <w:p>
      <w:pPr>
        <w:tabs>
          <w:tab w:val="left" w:pos="720"/>
        </w:tabs>
        <w:spacing w:line="360" w:lineRule="exact"/>
        <w:ind w:firstLine="480" w:firstLineChars="200"/>
        <w:rPr>
          <w:sz w:val="24"/>
          <w:highlight w:val="cyan"/>
        </w:rPr>
      </w:pPr>
      <w:r>
        <w:rPr>
          <w:rFonts w:hint="eastAsia"/>
          <w:sz w:val="24"/>
          <w:highlight w:val="cyan"/>
        </w:rPr>
        <w:t>（9）特殊情况下的施工措施；</w:t>
      </w:r>
    </w:p>
    <w:p>
      <w:pPr>
        <w:tabs>
          <w:tab w:val="left" w:pos="720"/>
        </w:tabs>
        <w:spacing w:line="360" w:lineRule="exact"/>
        <w:ind w:firstLine="480" w:firstLineChars="200"/>
        <w:rPr>
          <w:sz w:val="24"/>
          <w:highlight w:val="cyan"/>
        </w:rPr>
      </w:pPr>
      <w:r>
        <w:rPr>
          <w:rFonts w:hint="eastAsia"/>
          <w:sz w:val="24"/>
          <w:highlight w:val="cyan"/>
        </w:rPr>
        <w:t>（10）质量治理要求；</w:t>
      </w:r>
    </w:p>
    <w:p>
      <w:pPr>
        <w:tabs>
          <w:tab w:val="left" w:pos="720"/>
        </w:tabs>
        <w:spacing w:line="360" w:lineRule="exact"/>
        <w:ind w:firstLine="480" w:firstLineChars="200"/>
        <w:rPr>
          <w:sz w:val="24"/>
          <w:highlight w:val="cyan"/>
        </w:rPr>
      </w:pPr>
      <w:r>
        <w:rPr>
          <w:rFonts w:hint="eastAsia"/>
          <w:sz w:val="24"/>
          <w:highlight w:val="cyan"/>
        </w:rPr>
        <w:t>（11）新技术、新产品、新工艺、新材料应用。</w:t>
      </w:r>
    </w:p>
    <w:p>
      <w:pPr>
        <w:spacing w:line="420" w:lineRule="exact"/>
        <w:ind w:firstLine="480" w:firstLineChars="200"/>
        <w:rPr>
          <w:rFonts w:ascii="宋体" w:hAnsi="宋体"/>
          <w:sz w:val="24"/>
        </w:rPr>
      </w:pPr>
      <w:r>
        <w:rPr>
          <w:rFonts w:hint="eastAsia" w:ascii="宋体" w:hAnsi="宋体"/>
          <w:sz w:val="24"/>
        </w:rPr>
        <w:t>2.施工组织设计除采用文字表述外可附下列图表，图表及格式要求附后。</w:t>
      </w:r>
    </w:p>
    <w:p>
      <w:pPr>
        <w:spacing w:line="420" w:lineRule="exact"/>
        <w:ind w:firstLine="480" w:firstLineChars="200"/>
        <w:rPr>
          <w:rFonts w:ascii="宋体" w:hAnsi="宋体"/>
          <w:sz w:val="24"/>
        </w:rPr>
      </w:pPr>
      <w:r>
        <w:rPr>
          <w:rFonts w:hint="eastAsia" w:ascii="宋体" w:hAnsi="宋体"/>
          <w:sz w:val="24"/>
        </w:rPr>
        <w:t>附表一  拟投入本工程的主要施工设备表</w:t>
      </w:r>
    </w:p>
    <w:p>
      <w:pPr>
        <w:spacing w:line="420" w:lineRule="exact"/>
        <w:ind w:firstLine="480" w:firstLineChars="200"/>
        <w:rPr>
          <w:rFonts w:ascii="宋体" w:hAnsi="宋体"/>
          <w:sz w:val="24"/>
        </w:rPr>
      </w:pPr>
      <w:r>
        <w:rPr>
          <w:rFonts w:hint="eastAsia" w:ascii="宋体" w:hAnsi="宋体"/>
          <w:sz w:val="24"/>
        </w:rPr>
        <w:t>附表二  拟配备本工程的试验和检测仪器设备表</w:t>
      </w:r>
    </w:p>
    <w:p>
      <w:pPr>
        <w:spacing w:line="420" w:lineRule="exact"/>
        <w:ind w:firstLine="480" w:firstLineChars="200"/>
        <w:rPr>
          <w:rFonts w:ascii="宋体" w:hAnsi="宋体"/>
          <w:sz w:val="24"/>
        </w:rPr>
      </w:pPr>
      <w:r>
        <w:rPr>
          <w:rFonts w:hint="eastAsia" w:ascii="宋体" w:hAnsi="宋体"/>
          <w:sz w:val="24"/>
        </w:rPr>
        <w:t>附表三  劳动力计划表</w:t>
      </w:r>
    </w:p>
    <w:p>
      <w:pPr>
        <w:spacing w:line="420" w:lineRule="exact"/>
        <w:ind w:firstLine="480" w:firstLineChars="200"/>
        <w:rPr>
          <w:rFonts w:ascii="宋体" w:hAnsi="宋体"/>
          <w:sz w:val="24"/>
        </w:rPr>
      </w:pPr>
      <w:r>
        <w:rPr>
          <w:rFonts w:hint="eastAsia" w:ascii="宋体" w:hAnsi="宋体"/>
          <w:sz w:val="24"/>
        </w:rPr>
        <w:t>附表四  计划开、竣工日期和施工进度网络图</w:t>
      </w:r>
    </w:p>
    <w:p>
      <w:pPr>
        <w:spacing w:line="420" w:lineRule="exact"/>
        <w:ind w:firstLine="480" w:firstLineChars="200"/>
        <w:rPr>
          <w:rFonts w:ascii="宋体" w:hAnsi="宋体"/>
          <w:sz w:val="24"/>
        </w:rPr>
      </w:pPr>
      <w:r>
        <w:rPr>
          <w:rFonts w:hint="eastAsia" w:ascii="宋体" w:hAnsi="宋体"/>
          <w:sz w:val="24"/>
        </w:rPr>
        <w:t>附表五  施工总平面图</w:t>
      </w:r>
    </w:p>
    <w:p>
      <w:pPr>
        <w:spacing w:line="420" w:lineRule="exact"/>
        <w:ind w:firstLine="480" w:firstLineChars="200"/>
        <w:rPr>
          <w:rFonts w:ascii="宋体" w:hAnsi="宋体"/>
          <w:sz w:val="24"/>
        </w:rPr>
      </w:pPr>
      <w:r>
        <w:rPr>
          <w:rFonts w:hint="eastAsia" w:ascii="宋体" w:hAnsi="宋体"/>
          <w:sz w:val="24"/>
        </w:rPr>
        <w:t>附表六  临时用地表</w:t>
      </w:r>
    </w:p>
    <w:p>
      <w:pPr>
        <w:spacing w:beforeLines="50" w:afterLines="100" w:line="420" w:lineRule="exact"/>
        <w:rPr>
          <w:rFonts w:ascii="黑体" w:hAnsi="宋体" w:eastAsia="黑体"/>
          <w:sz w:val="24"/>
        </w:rPr>
      </w:pPr>
      <w:r>
        <w:rPr>
          <w:rFonts w:ascii="宋体" w:hAnsi="宋体"/>
          <w:sz w:val="24"/>
        </w:rPr>
        <w:br w:type="page"/>
      </w:r>
      <w:r>
        <w:rPr>
          <w:rFonts w:hint="eastAsia" w:ascii="黑体" w:hAnsi="宋体" w:eastAsia="黑体"/>
          <w:sz w:val="24"/>
        </w:rPr>
        <w:t>附表一：拟投入本工程的主要施工设备表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序号</w:t>
            </w:r>
          </w:p>
        </w:tc>
        <w:tc>
          <w:tcPr>
            <w:tcW w:w="1064"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设备名称</w:t>
            </w:r>
          </w:p>
        </w:tc>
        <w:tc>
          <w:tcPr>
            <w:tcW w:w="67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型号</w:t>
            </w:r>
          </w:p>
          <w:p>
            <w:pPr>
              <w:tabs>
                <w:tab w:val="center" w:pos="4153"/>
                <w:tab w:val="right" w:pos="8306"/>
              </w:tabs>
              <w:snapToGrid w:val="0"/>
              <w:jc w:val="center"/>
              <w:rPr>
                <w:rFonts w:ascii="宋体" w:hAnsi="宋体"/>
                <w:sz w:val="18"/>
                <w:szCs w:val="21"/>
              </w:rPr>
            </w:pPr>
            <w:r>
              <w:rPr>
                <w:rFonts w:hint="eastAsia" w:ascii="宋体" w:hAnsi="宋体"/>
                <w:sz w:val="18"/>
                <w:szCs w:val="21"/>
              </w:rPr>
              <w:t>规格</w:t>
            </w:r>
          </w:p>
        </w:tc>
        <w:tc>
          <w:tcPr>
            <w:tcW w:w="102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数  量</w:t>
            </w:r>
          </w:p>
        </w:tc>
        <w:tc>
          <w:tcPr>
            <w:tcW w:w="70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国别</w:t>
            </w:r>
          </w:p>
          <w:p>
            <w:pPr>
              <w:tabs>
                <w:tab w:val="center" w:pos="4153"/>
                <w:tab w:val="right" w:pos="8306"/>
              </w:tabs>
              <w:snapToGrid w:val="0"/>
              <w:jc w:val="center"/>
              <w:rPr>
                <w:rFonts w:ascii="宋体" w:hAnsi="宋体"/>
                <w:sz w:val="18"/>
                <w:szCs w:val="21"/>
              </w:rPr>
            </w:pPr>
            <w:r>
              <w:rPr>
                <w:rFonts w:hint="eastAsia" w:ascii="宋体" w:hAnsi="宋体"/>
                <w:sz w:val="18"/>
                <w:szCs w:val="21"/>
              </w:rPr>
              <w:t>产地</w:t>
            </w:r>
          </w:p>
        </w:tc>
        <w:tc>
          <w:tcPr>
            <w:tcW w:w="70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制造</w:t>
            </w:r>
          </w:p>
          <w:p>
            <w:pPr>
              <w:tabs>
                <w:tab w:val="center" w:pos="4153"/>
                <w:tab w:val="right" w:pos="8306"/>
              </w:tabs>
              <w:snapToGrid w:val="0"/>
              <w:jc w:val="center"/>
              <w:rPr>
                <w:rFonts w:ascii="宋体" w:hAnsi="宋体"/>
                <w:sz w:val="18"/>
                <w:szCs w:val="21"/>
              </w:rPr>
            </w:pPr>
            <w:r>
              <w:rPr>
                <w:rFonts w:hint="eastAsia" w:ascii="宋体" w:hAnsi="宋体"/>
                <w:sz w:val="18"/>
                <w:szCs w:val="21"/>
              </w:rPr>
              <w:t>年份</w:t>
            </w:r>
          </w:p>
        </w:tc>
        <w:tc>
          <w:tcPr>
            <w:tcW w:w="1176"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额定功率</w:t>
            </w:r>
          </w:p>
          <w:p>
            <w:pPr>
              <w:tabs>
                <w:tab w:val="center" w:pos="4153"/>
                <w:tab w:val="right" w:pos="8306"/>
              </w:tabs>
              <w:snapToGrid w:val="0"/>
              <w:jc w:val="center"/>
              <w:rPr>
                <w:rFonts w:ascii="宋体" w:hAnsi="宋体"/>
                <w:sz w:val="18"/>
                <w:szCs w:val="21"/>
              </w:rPr>
            </w:pPr>
            <w:r>
              <w:rPr>
                <w:rFonts w:hint="eastAsia" w:ascii="宋体" w:hAnsi="宋体"/>
                <w:sz w:val="18"/>
                <w:szCs w:val="21"/>
              </w:rPr>
              <w:t>（KW）</w:t>
            </w:r>
          </w:p>
        </w:tc>
        <w:tc>
          <w:tcPr>
            <w:tcW w:w="87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生产</w:t>
            </w:r>
          </w:p>
          <w:p>
            <w:pPr>
              <w:tabs>
                <w:tab w:val="center" w:pos="4153"/>
                <w:tab w:val="right" w:pos="8306"/>
              </w:tabs>
              <w:snapToGrid w:val="0"/>
              <w:jc w:val="center"/>
              <w:rPr>
                <w:rFonts w:ascii="宋体" w:hAnsi="宋体"/>
                <w:sz w:val="18"/>
                <w:szCs w:val="21"/>
              </w:rPr>
            </w:pPr>
            <w:r>
              <w:rPr>
                <w:rFonts w:hint="eastAsia" w:ascii="宋体" w:hAnsi="宋体"/>
                <w:sz w:val="18"/>
                <w:szCs w:val="21"/>
              </w:rPr>
              <w:t>能力</w:t>
            </w:r>
          </w:p>
        </w:tc>
        <w:tc>
          <w:tcPr>
            <w:tcW w:w="87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用于施</w:t>
            </w:r>
          </w:p>
          <w:p>
            <w:pPr>
              <w:tabs>
                <w:tab w:val="center" w:pos="4153"/>
                <w:tab w:val="right" w:pos="8306"/>
              </w:tabs>
              <w:snapToGrid w:val="0"/>
              <w:jc w:val="center"/>
              <w:rPr>
                <w:rFonts w:ascii="宋体" w:hAnsi="宋体"/>
                <w:sz w:val="18"/>
                <w:szCs w:val="21"/>
              </w:rPr>
            </w:pPr>
            <w:r>
              <w:rPr>
                <w:rFonts w:hint="eastAsia" w:ascii="宋体" w:hAnsi="宋体"/>
                <w:sz w:val="18"/>
                <w:szCs w:val="21"/>
              </w:rPr>
              <w:t>工部位</w:t>
            </w:r>
          </w:p>
        </w:tc>
        <w:tc>
          <w:tcPr>
            <w:tcW w:w="765"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872" w:type="dxa"/>
            <w:vAlign w:val="center"/>
          </w:tcPr>
          <w:p>
            <w:pPr>
              <w:tabs>
                <w:tab w:val="center" w:pos="4153"/>
                <w:tab w:val="right" w:pos="8306"/>
              </w:tabs>
              <w:snapToGrid w:val="0"/>
              <w:jc w:val="center"/>
              <w:rPr>
                <w:rFonts w:ascii="宋体" w:hAnsi="宋体"/>
                <w:sz w:val="18"/>
                <w:szCs w:val="21"/>
              </w:rPr>
            </w:pPr>
          </w:p>
        </w:tc>
        <w:tc>
          <w:tcPr>
            <w:tcW w:w="765" w:type="dxa"/>
            <w:vAlign w:val="center"/>
          </w:tcPr>
          <w:p>
            <w:pPr>
              <w:tabs>
                <w:tab w:val="center" w:pos="4153"/>
                <w:tab w:val="right" w:pos="8306"/>
              </w:tabs>
              <w:snapToGrid w:val="0"/>
              <w:jc w:val="center"/>
              <w:rPr>
                <w:rFonts w:ascii="宋体" w:hAnsi="宋体"/>
                <w:sz w:val="18"/>
                <w:szCs w:val="21"/>
              </w:rPr>
            </w:pPr>
          </w:p>
        </w:tc>
      </w:tr>
    </w:tbl>
    <w:p>
      <w:pPr>
        <w:spacing w:line="420" w:lineRule="exact"/>
        <w:rPr>
          <w:rFonts w:ascii="宋体" w:hAnsi="宋体"/>
          <w:szCs w:val="21"/>
        </w:rPr>
      </w:pPr>
    </w:p>
    <w:p>
      <w:pPr>
        <w:spacing w:beforeLines="50" w:afterLines="100" w:line="420" w:lineRule="exact"/>
        <w:rPr>
          <w:rFonts w:ascii="黑体" w:hAnsi="宋体" w:eastAsia="黑体"/>
          <w:sz w:val="24"/>
        </w:rPr>
      </w:pPr>
      <w:r>
        <w:rPr>
          <w:rFonts w:ascii="宋体" w:hAnsi="宋体"/>
          <w:szCs w:val="21"/>
        </w:rPr>
        <w:br w:type="page"/>
      </w:r>
      <w:r>
        <w:rPr>
          <w:rFonts w:hint="eastAsia" w:ascii="黑体" w:hAnsi="宋体" w:eastAsia="黑体"/>
          <w:sz w:val="24"/>
        </w:rPr>
        <w:t>附表二：拟配备本工程的试验和检测仪器设备表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序号</w:t>
            </w:r>
          </w:p>
        </w:tc>
        <w:tc>
          <w:tcPr>
            <w:tcW w:w="1064"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仪器设备</w:t>
            </w:r>
          </w:p>
          <w:p>
            <w:pPr>
              <w:tabs>
                <w:tab w:val="center" w:pos="4153"/>
                <w:tab w:val="right" w:pos="8306"/>
              </w:tabs>
              <w:snapToGrid w:val="0"/>
              <w:jc w:val="center"/>
              <w:rPr>
                <w:rFonts w:ascii="宋体" w:hAnsi="宋体"/>
                <w:sz w:val="18"/>
                <w:szCs w:val="21"/>
              </w:rPr>
            </w:pPr>
            <w:r>
              <w:rPr>
                <w:rFonts w:hint="eastAsia" w:ascii="宋体" w:hAnsi="宋体"/>
                <w:sz w:val="18"/>
                <w:szCs w:val="21"/>
              </w:rPr>
              <w:t>名    称</w:t>
            </w:r>
          </w:p>
        </w:tc>
        <w:tc>
          <w:tcPr>
            <w:tcW w:w="67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型号</w:t>
            </w:r>
          </w:p>
          <w:p>
            <w:pPr>
              <w:tabs>
                <w:tab w:val="center" w:pos="4153"/>
                <w:tab w:val="right" w:pos="8306"/>
              </w:tabs>
              <w:snapToGrid w:val="0"/>
              <w:jc w:val="center"/>
              <w:rPr>
                <w:rFonts w:ascii="宋体" w:hAnsi="宋体"/>
                <w:sz w:val="18"/>
                <w:szCs w:val="21"/>
              </w:rPr>
            </w:pPr>
            <w:r>
              <w:rPr>
                <w:rFonts w:hint="eastAsia" w:ascii="宋体" w:hAnsi="宋体"/>
                <w:sz w:val="18"/>
                <w:szCs w:val="21"/>
              </w:rPr>
              <w:t>规格</w:t>
            </w:r>
          </w:p>
        </w:tc>
        <w:tc>
          <w:tcPr>
            <w:tcW w:w="1022"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数  量</w:t>
            </w:r>
          </w:p>
        </w:tc>
        <w:tc>
          <w:tcPr>
            <w:tcW w:w="70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国别</w:t>
            </w:r>
          </w:p>
          <w:p>
            <w:pPr>
              <w:tabs>
                <w:tab w:val="center" w:pos="4153"/>
                <w:tab w:val="right" w:pos="8306"/>
              </w:tabs>
              <w:snapToGrid w:val="0"/>
              <w:jc w:val="center"/>
              <w:rPr>
                <w:rFonts w:ascii="宋体" w:hAnsi="宋体"/>
                <w:sz w:val="18"/>
                <w:szCs w:val="21"/>
              </w:rPr>
            </w:pPr>
            <w:r>
              <w:rPr>
                <w:rFonts w:hint="eastAsia" w:ascii="宋体" w:hAnsi="宋体"/>
                <w:sz w:val="18"/>
                <w:szCs w:val="21"/>
              </w:rPr>
              <w:t>产地</w:t>
            </w:r>
          </w:p>
        </w:tc>
        <w:tc>
          <w:tcPr>
            <w:tcW w:w="70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制造</w:t>
            </w:r>
          </w:p>
          <w:p>
            <w:pPr>
              <w:tabs>
                <w:tab w:val="center" w:pos="4153"/>
                <w:tab w:val="right" w:pos="8306"/>
              </w:tabs>
              <w:snapToGrid w:val="0"/>
              <w:jc w:val="center"/>
              <w:rPr>
                <w:rFonts w:ascii="宋体" w:hAnsi="宋体"/>
                <w:sz w:val="18"/>
                <w:szCs w:val="21"/>
              </w:rPr>
            </w:pPr>
            <w:r>
              <w:rPr>
                <w:rFonts w:hint="eastAsia" w:ascii="宋体" w:hAnsi="宋体"/>
                <w:sz w:val="18"/>
                <w:szCs w:val="21"/>
              </w:rPr>
              <w:t>年份</w:t>
            </w:r>
          </w:p>
        </w:tc>
        <w:tc>
          <w:tcPr>
            <w:tcW w:w="1176"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已使用台</w:t>
            </w:r>
          </w:p>
          <w:p>
            <w:pPr>
              <w:tabs>
                <w:tab w:val="center" w:pos="4153"/>
                <w:tab w:val="right" w:pos="8306"/>
              </w:tabs>
              <w:snapToGrid w:val="0"/>
              <w:jc w:val="center"/>
              <w:rPr>
                <w:rFonts w:ascii="宋体" w:hAnsi="宋体"/>
                <w:sz w:val="18"/>
                <w:szCs w:val="21"/>
              </w:rPr>
            </w:pPr>
            <w:r>
              <w:rPr>
                <w:rFonts w:hint="eastAsia" w:ascii="宋体" w:hAnsi="宋体"/>
                <w:sz w:val="18"/>
                <w:szCs w:val="21"/>
              </w:rPr>
              <w:t>时    数</w:t>
            </w:r>
          </w:p>
        </w:tc>
        <w:tc>
          <w:tcPr>
            <w:tcW w:w="165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用  途</w:t>
            </w:r>
          </w:p>
        </w:tc>
        <w:tc>
          <w:tcPr>
            <w:tcW w:w="850"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tabs>
                <w:tab w:val="center" w:pos="4153"/>
                <w:tab w:val="right" w:pos="8306"/>
              </w:tabs>
              <w:snapToGrid w:val="0"/>
              <w:jc w:val="center"/>
              <w:rPr>
                <w:rFonts w:ascii="宋体" w:hAnsi="宋体"/>
                <w:sz w:val="18"/>
                <w:szCs w:val="21"/>
              </w:rPr>
            </w:pPr>
          </w:p>
        </w:tc>
        <w:tc>
          <w:tcPr>
            <w:tcW w:w="1064" w:type="dxa"/>
            <w:vAlign w:val="center"/>
          </w:tcPr>
          <w:p>
            <w:pPr>
              <w:tabs>
                <w:tab w:val="center" w:pos="4153"/>
                <w:tab w:val="right" w:pos="8306"/>
              </w:tabs>
              <w:snapToGrid w:val="0"/>
              <w:jc w:val="center"/>
              <w:rPr>
                <w:rFonts w:ascii="宋体" w:hAnsi="宋体"/>
                <w:sz w:val="18"/>
                <w:szCs w:val="21"/>
              </w:rPr>
            </w:pPr>
          </w:p>
        </w:tc>
        <w:tc>
          <w:tcPr>
            <w:tcW w:w="672" w:type="dxa"/>
            <w:vAlign w:val="center"/>
          </w:tcPr>
          <w:p>
            <w:pPr>
              <w:tabs>
                <w:tab w:val="center" w:pos="4153"/>
                <w:tab w:val="right" w:pos="8306"/>
              </w:tabs>
              <w:snapToGrid w:val="0"/>
              <w:jc w:val="center"/>
              <w:rPr>
                <w:rFonts w:ascii="宋体" w:hAnsi="宋体"/>
                <w:sz w:val="18"/>
                <w:szCs w:val="21"/>
              </w:rPr>
            </w:pPr>
          </w:p>
        </w:tc>
        <w:tc>
          <w:tcPr>
            <w:tcW w:w="1022"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709" w:type="dxa"/>
            <w:vAlign w:val="center"/>
          </w:tcPr>
          <w:p>
            <w:pPr>
              <w:tabs>
                <w:tab w:val="center" w:pos="4153"/>
                <w:tab w:val="right" w:pos="8306"/>
              </w:tabs>
              <w:snapToGrid w:val="0"/>
              <w:jc w:val="center"/>
              <w:rPr>
                <w:rFonts w:ascii="宋体" w:hAnsi="宋体"/>
                <w:sz w:val="18"/>
                <w:szCs w:val="21"/>
              </w:rPr>
            </w:pPr>
          </w:p>
        </w:tc>
        <w:tc>
          <w:tcPr>
            <w:tcW w:w="1176" w:type="dxa"/>
            <w:vAlign w:val="center"/>
          </w:tcPr>
          <w:p>
            <w:pPr>
              <w:tabs>
                <w:tab w:val="center" w:pos="4153"/>
                <w:tab w:val="right" w:pos="8306"/>
              </w:tabs>
              <w:snapToGrid w:val="0"/>
              <w:jc w:val="center"/>
              <w:rPr>
                <w:rFonts w:ascii="宋体" w:hAnsi="宋体"/>
                <w:sz w:val="18"/>
                <w:szCs w:val="21"/>
              </w:rPr>
            </w:pPr>
          </w:p>
        </w:tc>
        <w:tc>
          <w:tcPr>
            <w:tcW w:w="1659" w:type="dxa"/>
            <w:vAlign w:val="center"/>
          </w:tcPr>
          <w:p>
            <w:pPr>
              <w:tabs>
                <w:tab w:val="center" w:pos="4153"/>
                <w:tab w:val="right" w:pos="8306"/>
              </w:tabs>
              <w:snapToGrid w:val="0"/>
              <w:jc w:val="center"/>
              <w:rPr>
                <w:rFonts w:ascii="宋体" w:hAnsi="宋体"/>
                <w:sz w:val="18"/>
                <w:szCs w:val="21"/>
              </w:rPr>
            </w:pPr>
          </w:p>
        </w:tc>
        <w:tc>
          <w:tcPr>
            <w:tcW w:w="850" w:type="dxa"/>
            <w:vAlign w:val="center"/>
          </w:tcPr>
          <w:p>
            <w:pPr>
              <w:tabs>
                <w:tab w:val="center" w:pos="4153"/>
                <w:tab w:val="right" w:pos="8306"/>
              </w:tabs>
              <w:snapToGrid w:val="0"/>
              <w:jc w:val="center"/>
              <w:rPr>
                <w:rFonts w:ascii="宋体" w:hAnsi="宋体"/>
                <w:sz w:val="18"/>
                <w:szCs w:val="21"/>
              </w:rPr>
            </w:pPr>
          </w:p>
        </w:tc>
      </w:tr>
    </w:tbl>
    <w:p>
      <w:pPr>
        <w:spacing w:line="420" w:lineRule="exact"/>
        <w:rPr>
          <w:rFonts w:ascii="宋体" w:hAnsi="宋体"/>
          <w:szCs w:val="21"/>
        </w:rPr>
      </w:pPr>
    </w:p>
    <w:p>
      <w:pPr>
        <w:spacing w:beforeLines="50" w:afterLines="50" w:line="420" w:lineRule="exact"/>
        <w:rPr>
          <w:rFonts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ascii="黑体" w:hAnsi="宋体" w:eastAsia="黑体"/>
          <w:szCs w:val="21"/>
        </w:rPr>
      </w:pPr>
      <w:r>
        <w:rPr>
          <w:rFonts w:hint="eastAsia" w:ascii="黑体" w:hAnsi="宋体" w:eastAsia="黑体"/>
          <w:szCs w:val="21"/>
        </w:rPr>
        <w:t xml:space="preserve">单位：人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工种</w:t>
            </w:r>
          </w:p>
        </w:tc>
        <w:tc>
          <w:tcPr>
            <w:tcW w:w="7796" w:type="dxa"/>
            <w:gridSpan w:val="7"/>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tabs>
                <w:tab w:val="center" w:pos="4153"/>
                <w:tab w:val="right" w:pos="8306"/>
              </w:tabs>
              <w:snapToGrid w:val="0"/>
              <w:jc w:val="center"/>
              <w:rPr>
                <w:rFonts w:ascii="宋体" w:hAnsi="宋体"/>
                <w:sz w:val="18"/>
                <w:szCs w:val="21"/>
              </w:rPr>
            </w:pPr>
          </w:p>
        </w:tc>
        <w:tc>
          <w:tcPr>
            <w:tcW w:w="1418"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c>
          <w:tcPr>
            <w:tcW w:w="1063" w:type="dxa"/>
            <w:vAlign w:val="center"/>
          </w:tcPr>
          <w:p>
            <w:pPr>
              <w:tabs>
                <w:tab w:val="center" w:pos="4153"/>
                <w:tab w:val="right" w:pos="8306"/>
              </w:tabs>
              <w:snapToGrid w:val="0"/>
              <w:jc w:val="center"/>
              <w:rPr>
                <w:rFonts w:ascii="宋体" w:hAnsi="宋体"/>
                <w:sz w:val="18"/>
                <w:szCs w:val="21"/>
              </w:rPr>
            </w:pPr>
          </w:p>
        </w:tc>
      </w:tr>
    </w:tbl>
    <w:p>
      <w:pPr>
        <w:spacing w:line="420" w:lineRule="exact"/>
        <w:rPr>
          <w:rFonts w:ascii="宋体" w:hAnsi="宋体"/>
          <w:szCs w:val="21"/>
        </w:rPr>
      </w:pPr>
    </w:p>
    <w:p>
      <w:pPr>
        <w:spacing w:beforeLines="50" w:afterLines="100" w:line="420" w:lineRule="exact"/>
        <w:rPr>
          <w:rFonts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ascii="宋体" w:hAnsi="宋体"/>
          <w:szCs w:val="21"/>
        </w:rPr>
      </w:pPr>
      <w:r>
        <w:rPr>
          <w:rFonts w:hint="eastAsia" w:ascii="宋体" w:hAnsi="宋体"/>
          <w:szCs w:val="21"/>
        </w:rPr>
        <w:t>1．投标人应递交施工进度网络图或施工进度表，说明按招标文件要求的计划工期进行施工的各个关键日期。</w:t>
      </w:r>
    </w:p>
    <w:p>
      <w:pPr>
        <w:spacing w:line="420" w:lineRule="exact"/>
        <w:ind w:firstLine="420" w:firstLineChars="200"/>
        <w:rPr>
          <w:rFonts w:ascii="宋体" w:hAnsi="宋体"/>
          <w:szCs w:val="21"/>
        </w:rPr>
      </w:pPr>
      <w:r>
        <w:rPr>
          <w:rFonts w:hint="eastAsia" w:ascii="宋体" w:hAnsi="宋体"/>
          <w:szCs w:val="21"/>
        </w:rPr>
        <w:t>2．施工进度表可采用网络图和（或）横道图表示。</w:t>
      </w:r>
    </w:p>
    <w:p>
      <w:pPr>
        <w:spacing w:beforeLines="50" w:afterLines="100" w:line="420" w:lineRule="exact"/>
        <w:rPr>
          <w:rFonts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beforeLines="50" w:afterLines="100" w:line="420" w:lineRule="exact"/>
        <w:rPr>
          <w:rFonts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用  途</w:t>
            </w:r>
          </w:p>
        </w:tc>
        <w:tc>
          <w:tcPr>
            <w:tcW w:w="207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面 积（平方米）</w:t>
            </w:r>
          </w:p>
        </w:tc>
        <w:tc>
          <w:tcPr>
            <w:tcW w:w="207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位  置</w:t>
            </w:r>
          </w:p>
        </w:tc>
        <w:tc>
          <w:tcPr>
            <w:tcW w:w="2079" w:type="dxa"/>
            <w:vAlign w:val="center"/>
          </w:tcPr>
          <w:p>
            <w:pPr>
              <w:tabs>
                <w:tab w:val="center" w:pos="4153"/>
                <w:tab w:val="right" w:pos="8306"/>
              </w:tabs>
              <w:snapToGrid w:val="0"/>
              <w:jc w:val="center"/>
              <w:rPr>
                <w:rFonts w:ascii="宋体" w:hAnsi="宋体"/>
                <w:sz w:val="18"/>
                <w:szCs w:val="21"/>
              </w:rPr>
            </w:pPr>
            <w:r>
              <w:rPr>
                <w:rFonts w:hint="eastAsia" w:ascii="宋体" w:hAnsi="宋体"/>
                <w:sz w:val="18"/>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c>
          <w:tcPr>
            <w:tcW w:w="2079" w:type="dxa"/>
          </w:tcPr>
          <w:p>
            <w:pPr>
              <w:tabs>
                <w:tab w:val="center" w:pos="4153"/>
                <w:tab w:val="right" w:pos="8306"/>
              </w:tabs>
              <w:snapToGrid w:val="0"/>
              <w:rPr>
                <w:rFonts w:ascii="宋体" w:hAnsi="宋体"/>
                <w:sz w:val="18"/>
                <w:szCs w:val="21"/>
              </w:rPr>
            </w:pPr>
          </w:p>
        </w:tc>
      </w:tr>
      <w:bookmarkEnd w:id="767"/>
    </w:tbl>
    <w:p>
      <w:pPr>
        <w:spacing w:line="360" w:lineRule="exact"/>
        <w:rPr>
          <w:rFonts w:eastAsia="黑体"/>
          <w:sz w:val="30"/>
          <w:szCs w:val="30"/>
        </w:rPr>
      </w:pPr>
    </w:p>
    <w:p>
      <w:pPr>
        <w:spacing w:line="360" w:lineRule="exact"/>
        <w:rPr>
          <w:szCs w:val="21"/>
        </w:rPr>
      </w:pPr>
    </w:p>
    <w:p>
      <w:pPr>
        <w:spacing w:line="360" w:lineRule="exact"/>
        <w:rPr>
          <w:szCs w:val="21"/>
        </w:rPr>
      </w:pPr>
    </w:p>
    <w:bookmarkEnd w:id="768"/>
    <w:bookmarkEnd w:id="769"/>
    <w:bookmarkEnd w:id="770"/>
    <w:p>
      <w:pPr>
        <w:spacing w:beforeLines="50" w:afterLines="50" w:line="420" w:lineRule="exact"/>
        <w:jc w:val="center"/>
        <w:outlineLvl w:val="0"/>
        <w:rPr>
          <w:rFonts w:ascii="黑体" w:hAnsi="宋体" w:eastAsia="黑体"/>
          <w:sz w:val="28"/>
          <w:szCs w:val="28"/>
        </w:rPr>
      </w:pPr>
      <w:bookmarkStart w:id="771" w:name="_Toc144974874"/>
      <w:bookmarkStart w:id="772" w:name="_Toc152042595"/>
      <w:bookmarkStart w:id="773" w:name="_Toc152045806"/>
      <w:r>
        <w:rPr>
          <w:rFonts w:hint="eastAsia" w:ascii="黑体" w:hAnsi="宋体" w:eastAsia="黑体"/>
          <w:sz w:val="28"/>
          <w:szCs w:val="28"/>
        </w:rPr>
        <w:t>五、项目管理机构</w:t>
      </w:r>
    </w:p>
    <w:p>
      <w:pPr>
        <w:spacing w:afterLines="100" w:line="420" w:lineRule="exact"/>
        <w:outlineLvl w:val="0"/>
        <w:rPr>
          <w:rFonts w:ascii="黑体" w:hAnsi="宋体" w:eastAsia="黑体"/>
          <w:sz w:val="24"/>
        </w:rPr>
      </w:pPr>
      <w:r>
        <w:rPr>
          <w:rFonts w:hint="eastAsia" w:ascii="黑体" w:hAnsi="宋体" w:eastAsia="黑体"/>
          <w:sz w:val="24"/>
        </w:rPr>
        <w:t>（一）项目管理机构组成表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5"/>
        <w:gridCol w:w="945"/>
        <w:gridCol w:w="1134"/>
        <w:gridCol w:w="993"/>
        <w:gridCol w:w="1701"/>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Merge w:val="restart"/>
            <w:vAlign w:val="center"/>
          </w:tcPr>
          <w:p>
            <w:pPr>
              <w:jc w:val="center"/>
              <w:rPr>
                <w:rFonts w:ascii="宋体" w:hAnsi="宋体"/>
                <w:szCs w:val="21"/>
              </w:rPr>
            </w:pPr>
            <w:r>
              <w:rPr>
                <w:rFonts w:hint="eastAsia" w:ascii="宋体" w:hAnsi="宋体"/>
                <w:szCs w:val="21"/>
              </w:rPr>
              <w:t>职务</w:t>
            </w:r>
          </w:p>
        </w:tc>
        <w:tc>
          <w:tcPr>
            <w:tcW w:w="945" w:type="dxa"/>
            <w:vMerge w:val="restart"/>
            <w:vAlign w:val="center"/>
          </w:tcPr>
          <w:p>
            <w:pPr>
              <w:jc w:val="center"/>
              <w:rPr>
                <w:rFonts w:ascii="宋体" w:hAnsi="宋体"/>
                <w:szCs w:val="21"/>
              </w:rPr>
            </w:pPr>
            <w:r>
              <w:rPr>
                <w:rFonts w:hint="eastAsia" w:ascii="宋体" w:hAnsi="宋体"/>
                <w:szCs w:val="21"/>
              </w:rPr>
              <w:t>姓名</w:t>
            </w:r>
          </w:p>
        </w:tc>
        <w:tc>
          <w:tcPr>
            <w:tcW w:w="945" w:type="dxa"/>
            <w:vMerge w:val="restart"/>
            <w:vAlign w:val="center"/>
          </w:tcPr>
          <w:p>
            <w:pPr>
              <w:jc w:val="center"/>
              <w:rPr>
                <w:rFonts w:ascii="宋体" w:hAnsi="宋体"/>
                <w:szCs w:val="21"/>
              </w:rPr>
            </w:pPr>
            <w:r>
              <w:rPr>
                <w:rFonts w:hint="eastAsia" w:ascii="宋体" w:hAnsi="宋体"/>
                <w:szCs w:val="21"/>
              </w:rPr>
              <w:t>职称</w:t>
            </w:r>
          </w:p>
        </w:tc>
        <w:tc>
          <w:tcPr>
            <w:tcW w:w="4962" w:type="dxa"/>
            <w:gridSpan w:val="4"/>
            <w:vAlign w:val="center"/>
          </w:tcPr>
          <w:p>
            <w:pPr>
              <w:jc w:val="center"/>
              <w:rPr>
                <w:rFonts w:ascii="宋体" w:hAnsi="宋体"/>
                <w:szCs w:val="21"/>
              </w:rPr>
            </w:pPr>
            <w:r>
              <w:rPr>
                <w:rFonts w:hint="eastAsia" w:ascii="宋体" w:hAnsi="宋体"/>
                <w:szCs w:val="21"/>
              </w:rPr>
              <w:t>执业或职业资格证明</w:t>
            </w:r>
          </w:p>
        </w:tc>
        <w:tc>
          <w:tcPr>
            <w:tcW w:w="708"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Merge w:val="continue"/>
            <w:vAlign w:val="center"/>
          </w:tcPr>
          <w:p>
            <w:pPr>
              <w:jc w:val="center"/>
              <w:rPr>
                <w:rFonts w:ascii="宋体" w:hAnsi="宋体"/>
                <w:szCs w:val="21"/>
              </w:rPr>
            </w:pPr>
          </w:p>
        </w:tc>
        <w:tc>
          <w:tcPr>
            <w:tcW w:w="945" w:type="dxa"/>
            <w:vMerge w:val="continue"/>
            <w:vAlign w:val="center"/>
          </w:tcPr>
          <w:p>
            <w:pPr>
              <w:jc w:val="center"/>
              <w:rPr>
                <w:rFonts w:ascii="宋体" w:hAnsi="宋体"/>
                <w:szCs w:val="21"/>
              </w:rPr>
            </w:pPr>
          </w:p>
        </w:tc>
        <w:tc>
          <w:tcPr>
            <w:tcW w:w="945"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证书名称</w:t>
            </w:r>
          </w:p>
        </w:tc>
        <w:tc>
          <w:tcPr>
            <w:tcW w:w="993" w:type="dxa"/>
            <w:vAlign w:val="center"/>
          </w:tcPr>
          <w:p>
            <w:pPr>
              <w:jc w:val="center"/>
              <w:rPr>
                <w:rFonts w:ascii="宋体" w:hAnsi="宋体"/>
                <w:szCs w:val="21"/>
              </w:rPr>
            </w:pPr>
            <w:r>
              <w:rPr>
                <w:rFonts w:hint="eastAsia" w:ascii="宋体" w:hAnsi="宋体"/>
                <w:szCs w:val="21"/>
              </w:rPr>
              <w:t>级别</w:t>
            </w:r>
          </w:p>
        </w:tc>
        <w:tc>
          <w:tcPr>
            <w:tcW w:w="1701" w:type="dxa"/>
            <w:vAlign w:val="center"/>
          </w:tcPr>
          <w:p>
            <w:pPr>
              <w:jc w:val="center"/>
              <w:rPr>
                <w:rFonts w:ascii="宋体" w:hAnsi="宋体"/>
                <w:szCs w:val="21"/>
              </w:rPr>
            </w:pPr>
            <w:r>
              <w:rPr>
                <w:rFonts w:hint="eastAsia" w:ascii="宋体" w:hAnsi="宋体"/>
                <w:szCs w:val="21"/>
              </w:rPr>
              <w:t>证号</w:t>
            </w:r>
          </w:p>
        </w:tc>
        <w:tc>
          <w:tcPr>
            <w:tcW w:w="1134" w:type="dxa"/>
            <w:vAlign w:val="center"/>
          </w:tcPr>
          <w:p>
            <w:pPr>
              <w:jc w:val="center"/>
              <w:rPr>
                <w:rFonts w:ascii="宋体" w:hAnsi="宋体"/>
                <w:szCs w:val="21"/>
              </w:rPr>
            </w:pPr>
            <w:r>
              <w:rPr>
                <w:rFonts w:hint="eastAsia" w:ascii="宋体" w:hAnsi="宋体"/>
                <w:szCs w:val="21"/>
              </w:rPr>
              <w:t>专业</w:t>
            </w:r>
          </w:p>
        </w:tc>
        <w:tc>
          <w:tcPr>
            <w:tcW w:w="70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94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bl>
    <w:p>
      <w:pPr>
        <w:spacing w:line="420" w:lineRule="exact"/>
        <w:rPr>
          <w:rFonts w:ascii="宋体" w:hAnsi="宋体"/>
          <w:szCs w:val="21"/>
        </w:rPr>
      </w:pPr>
    </w:p>
    <w:p>
      <w:pPr>
        <w:spacing w:beforeLines="50" w:afterLines="100" w:line="420" w:lineRule="exact"/>
        <w:outlineLvl w:val="0"/>
        <w:rPr>
          <w:rFonts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ascii="黑体" w:hAnsi="宋体" w:eastAsia="黑体"/>
          <w:szCs w:val="21"/>
        </w:rPr>
      </w:pPr>
      <w:r>
        <w:rPr>
          <w:rFonts w:hint="eastAsia" w:ascii="黑体" w:hAnsi="宋体" w:eastAsia="黑体"/>
          <w:szCs w:val="21"/>
        </w:rPr>
        <w:t>附1：项目经理简历表</w:t>
      </w:r>
    </w:p>
    <w:p>
      <w:pPr>
        <w:spacing w:line="420" w:lineRule="exact"/>
        <w:rPr>
          <w:rFonts w:ascii="宋体" w:hAnsi="宋体"/>
          <w:szCs w:val="21"/>
        </w:rPr>
      </w:pPr>
      <w:r>
        <w:rPr>
          <w:rFonts w:hint="eastAsia" w:ascii="宋体" w:hAnsi="宋体"/>
          <w:szCs w:val="21"/>
        </w:rPr>
        <w:t>项目经理应附建造师执业资格证书、注册证书、安全生产考核合格证书、身份证、职称证、</w:t>
      </w:r>
    </w:p>
    <w:p>
      <w:pPr>
        <w:spacing w:line="420" w:lineRule="exact"/>
        <w:rPr>
          <w:rFonts w:ascii="宋体" w:hAnsi="宋体"/>
          <w:szCs w:val="21"/>
        </w:rPr>
      </w:pPr>
      <w:r>
        <w:rPr>
          <w:rFonts w:hint="eastAsia" w:ascii="宋体" w:hAnsi="宋体"/>
          <w:szCs w:val="21"/>
        </w:rPr>
        <w:t>学历证扫描件，管理过的项目业绩须附</w:t>
      </w:r>
      <w:r>
        <w:rPr>
          <w:rFonts w:hint="eastAsia"/>
        </w:rPr>
        <w:t>合同协议书</w:t>
      </w:r>
      <w:r>
        <w:rPr>
          <w:rStyle w:val="51"/>
          <w:rFonts w:hint="eastAsia"/>
        </w:rPr>
        <w:t>扫描件</w:t>
      </w:r>
      <w:r>
        <w:rPr>
          <w:rFonts w:hint="eastAsia" w:ascii="宋体" w:hAnsi="宋体"/>
          <w:szCs w:val="21"/>
        </w:rPr>
        <w:t>。类似项目限于以项目经理身份参与的项目。</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宋体" w:hAnsi="宋体"/>
                <w:szCs w:val="21"/>
              </w:rPr>
            </w:pPr>
            <w:r>
              <w:rPr>
                <w:rFonts w:hint="eastAsia" w:ascii="宋体" w:hAnsi="宋体"/>
                <w:szCs w:val="21"/>
              </w:rPr>
              <w:t>姓  名</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年  龄</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学历</w:t>
            </w: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rPr>
            </w:pPr>
            <w:r>
              <w:rPr>
                <w:rFonts w:hint="eastAsia" w:ascii="宋体" w:hAnsi="宋体"/>
                <w:szCs w:val="21"/>
              </w:rPr>
              <w:t>职  称</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职  务</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拟在本工程任职</w:t>
            </w:r>
          </w:p>
        </w:tc>
        <w:tc>
          <w:tcPr>
            <w:tcW w:w="2126" w:type="dxa"/>
            <w:vAlign w:val="center"/>
          </w:tcPr>
          <w:p>
            <w:pPr>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Cs w:val="21"/>
              </w:rPr>
            </w:pPr>
            <w:r>
              <w:rPr>
                <w:rFonts w:hint="eastAsia" w:ascii="宋体" w:hAnsi="宋体"/>
                <w:szCs w:val="21"/>
              </w:rPr>
              <w:t>注册建造师执业资格等级</w:t>
            </w:r>
          </w:p>
        </w:tc>
        <w:tc>
          <w:tcPr>
            <w:tcW w:w="1275" w:type="dxa"/>
            <w:vAlign w:val="center"/>
          </w:tcPr>
          <w:p>
            <w:pPr>
              <w:jc w:val="center"/>
              <w:rPr>
                <w:rFonts w:ascii="宋体" w:hAnsi="宋体"/>
                <w:szCs w:val="21"/>
              </w:rPr>
            </w:pPr>
            <w:r>
              <w:rPr>
                <w:rFonts w:hint="eastAsia" w:ascii="宋体" w:hAnsi="宋体"/>
                <w:szCs w:val="21"/>
              </w:rPr>
              <w:t xml:space="preserve">      级</w:t>
            </w:r>
          </w:p>
        </w:tc>
        <w:tc>
          <w:tcPr>
            <w:tcW w:w="1843" w:type="dxa"/>
            <w:vAlign w:val="center"/>
          </w:tcPr>
          <w:p>
            <w:pPr>
              <w:jc w:val="center"/>
              <w:rPr>
                <w:rFonts w:ascii="宋体" w:hAnsi="宋体"/>
                <w:szCs w:val="21"/>
              </w:rPr>
            </w:pPr>
            <w:r>
              <w:rPr>
                <w:rFonts w:hint="eastAsia" w:ascii="宋体" w:hAnsi="宋体"/>
                <w:szCs w:val="21"/>
              </w:rPr>
              <w:t>建造师专业</w:t>
            </w: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Cs w:val="21"/>
              </w:rPr>
            </w:pPr>
            <w:r>
              <w:rPr>
                <w:rFonts w:hint="eastAsia" w:ascii="宋体" w:hAnsi="宋体"/>
                <w:szCs w:val="21"/>
              </w:rPr>
              <w:t>安全生产考核合格证书</w:t>
            </w:r>
          </w:p>
        </w:tc>
        <w:tc>
          <w:tcPr>
            <w:tcW w:w="524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rPr>
            </w:pPr>
            <w:r>
              <w:rPr>
                <w:rFonts w:hint="eastAsia" w:ascii="宋体" w:hAnsi="宋体"/>
                <w:szCs w:val="21"/>
              </w:rPr>
              <w:t>毕业学校</w:t>
            </w:r>
          </w:p>
        </w:tc>
        <w:tc>
          <w:tcPr>
            <w:tcW w:w="7413" w:type="dxa"/>
            <w:gridSpan w:val="5"/>
            <w:vAlign w:val="center"/>
          </w:tcPr>
          <w:p>
            <w:pPr>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pPr>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Cs w:val="21"/>
              </w:rPr>
            </w:pPr>
            <w:r>
              <w:rPr>
                <w:rFonts w:hint="eastAsia" w:ascii="宋体" w:hAnsi="宋体"/>
                <w:szCs w:val="21"/>
              </w:rPr>
              <w:t>时  间</w:t>
            </w:r>
          </w:p>
        </w:tc>
        <w:tc>
          <w:tcPr>
            <w:tcW w:w="3444" w:type="dxa"/>
            <w:gridSpan w:val="3"/>
            <w:vAlign w:val="center"/>
          </w:tcPr>
          <w:p>
            <w:pPr>
              <w:jc w:val="center"/>
              <w:rPr>
                <w:rFonts w:ascii="宋体" w:hAnsi="宋体"/>
                <w:szCs w:val="21"/>
              </w:rPr>
            </w:pPr>
            <w:r>
              <w:rPr>
                <w:rFonts w:hint="eastAsia" w:ascii="宋体" w:hAnsi="宋体"/>
                <w:szCs w:val="21"/>
              </w:rPr>
              <w:t>参加过的类似项目名称</w:t>
            </w:r>
          </w:p>
        </w:tc>
        <w:tc>
          <w:tcPr>
            <w:tcW w:w="1843" w:type="dxa"/>
            <w:vAlign w:val="center"/>
          </w:tcPr>
          <w:p>
            <w:pPr>
              <w:jc w:val="center"/>
              <w:rPr>
                <w:rFonts w:ascii="宋体" w:hAnsi="宋体"/>
                <w:szCs w:val="21"/>
              </w:rPr>
            </w:pPr>
            <w:r>
              <w:rPr>
                <w:rFonts w:hint="eastAsia" w:ascii="宋体" w:hAnsi="宋体"/>
                <w:szCs w:val="21"/>
              </w:rPr>
              <w:t>工程概况说明</w:t>
            </w:r>
          </w:p>
        </w:tc>
        <w:tc>
          <w:tcPr>
            <w:tcW w:w="2126" w:type="dxa"/>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Cs w:val="21"/>
              </w:rPr>
            </w:pP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bl>
    <w:p>
      <w:pPr>
        <w:spacing w:line="420" w:lineRule="exact"/>
        <w:rPr>
          <w:rFonts w:ascii="宋体" w:hAnsi="宋体"/>
          <w:szCs w:val="21"/>
        </w:rPr>
      </w:pPr>
    </w:p>
    <w:p>
      <w:pPr>
        <w:spacing w:line="420" w:lineRule="exact"/>
        <w:rPr>
          <w:rFonts w:ascii="黑体" w:hAnsi="宋体" w:eastAsia="黑体"/>
          <w:szCs w:val="21"/>
        </w:rPr>
      </w:pPr>
      <w:r>
        <w:rPr>
          <w:rFonts w:ascii="宋体" w:hAnsi="宋体"/>
          <w:szCs w:val="21"/>
        </w:rPr>
        <w:br w:type="page"/>
      </w:r>
      <w:r>
        <w:rPr>
          <w:rFonts w:hint="eastAsia" w:ascii="黑体" w:hAnsi="宋体" w:eastAsia="黑体"/>
          <w:szCs w:val="21"/>
        </w:rPr>
        <w:t>附2：主要项目管理人员简历表</w:t>
      </w:r>
    </w:p>
    <w:p>
      <w:pPr>
        <w:spacing w:line="420" w:lineRule="exact"/>
        <w:rPr>
          <w:rFonts w:ascii="宋体" w:hAnsi="宋体"/>
          <w:szCs w:val="21"/>
        </w:rPr>
      </w:pPr>
      <w:r>
        <w:rPr>
          <w:rFonts w:hint="eastAsia" w:ascii="宋体" w:hAnsi="宋体"/>
          <w:szCs w:val="21"/>
        </w:rPr>
        <w:t>主要项目管理人员指项目副经理、技术负责人、合同商务负责人、专职安全生产管理人员等</w:t>
      </w:r>
    </w:p>
    <w:p>
      <w:pPr>
        <w:spacing w:line="420" w:lineRule="exact"/>
        <w:rPr>
          <w:rFonts w:ascii="宋体" w:hAnsi="宋体"/>
          <w:szCs w:val="21"/>
        </w:rPr>
      </w:pPr>
      <w:r>
        <w:rPr>
          <w:rFonts w:hint="eastAsia" w:ascii="宋体" w:hAnsi="宋体"/>
          <w:szCs w:val="21"/>
        </w:rPr>
        <w:t>岗位人员。应附注册资格证书、身份证、职称证、学历证扫描件，专职安全生产管理人员应附安全生产考核合格证书扫描件，主要业绩须附</w:t>
      </w:r>
      <w:r>
        <w:rPr>
          <w:rFonts w:hint="eastAsia"/>
        </w:rPr>
        <w:t>合同协议书</w:t>
      </w:r>
      <w:r>
        <w:rPr>
          <w:rFonts w:hint="eastAsia" w:ascii="宋体" w:hAnsi="宋体"/>
          <w:szCs w:val="21"/>
        </w:rPr>
        <w:t>扫描件。</w:t>
      </w:r>
    </w:p>
    <w:tbl>
      <w:tblPr>
        <w:tblStyle w:val="43"/>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485"/>
        <w:gridCol w:w="2235"/>
        <w:gridCol w:w="112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20" w:type="dxa"/>
            <w:gridSpan w:val="5"/>
          </w:tcPr>
          <w:p>
            <w:pPr>
              <w:spacing w:line="640" w:lineRule="exact"/>
              <w:ind w:firstLine="630" w:firstLineChars="300"/>
              <w:rPr>
                <w:rFonts w:ascii="宋体" w:hAnsi="宋体"/>
                <w:szCs w:val="21"/>
              </w:rPr>
            </w:pPr>
            <w:r>
              <w:rPr>
                <w:rFonts w:hint="eastAsia" w:ascii="宋体" w:hAnsi="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0" w:type="dxa"/>
            <w:gridSpan w:val="2"/>
          </w:tcPr>
          <w:p>
            <w:pPr>
              <w:spacing w:line="640" w:lineRule="exact"/>
              <w:ind w:firstLine="630" w:firstLineChars="300"/>
              <w:rPr>
                <w:rFonts w:ascii="宋体" w:hAnsi="宋体"/>
                <w:szCs w:val="21"/>
              </w:rPr>
            </w:pPr>
            <w:r>
              <w:rPr>
                <w:rFonts w:hint="eastAsia" w:ascii="宋体" w:hAnsi="宋体"/>
                <w:szCs w:val="21"/>
              </w:rPr>
              <w:t>姓    名</w:t>
            </w:r>
          </w:p>
        </w:tc>
        <w:tc>
          <w:tcPr>
            <w:tcW w:w="2235" w:type="dxa"/>
          </w:tcPr>
          <w:p>
            <w:pPr>
              <w:spacing w:line="640" w:lineRule="exact"/>
              <w:rPr>
                <w:rFonts w:ascii="宋体" w:hAnsi="宋体"/>
                <w:szCs w:val="21"/>
              </w:rPr>
            </w:pPr>
          </w:p>
        </w:tc>
        <w:tc>
          <w:tcPr>
            <w:tcW w:w="1125" w:type="dxa"/>
          </w:tcPr>
          <w:p>
            <w:pPr>
              <w:spacing w:line="640" w:lineRule="exact"/>
              <w:ind w:left="57"/>
              <w:rPr>
                <w:rFonts w:ascii="宋体" w:hAnsi="宋体"/>
                <w:szCs w:val="21"/>
              </w:rPr>
            </w:pPr>
            <w:r>
              <w:rPr>
                <w:rFonts w:hint="eastAsia" w:ascii="宋体" w:hAnsi="宋体"/>
                <w:szCs w:val="21"/>
              </w:rPr>
              <w:t>年    龄</w:t>
            </w:r>
          </w:p>
        </w:tc>
        <w:tc>
          <w:tcPr>
            <w:tcW w:w="2340"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20" w:type="dxa"/>
            <w:gridSpan w:val="2"/>
          </w:tcPr>
          <w:p>
            <w:pPr>
              <w:spacing w:line="640" w:lineRule="exact"/>
              <w:ind w:firstLine="630" w:firstLineChars="300"/>
              <w:rPr>
                <w:rFonts w:ascii="宋体" w:hAnsi="宋体"/>
                <w:szCs w:val="21"/>
              </w:rPr>
            </w:pPr>
            <w:r>
              <w:rPr>
                <w:rFonts w:hint="eastAsia" w:ascii="宋体" w:hAnsi="宋体"/>
                <w:szCs w:val="21"/>
              </w:rPr>
              <w:t>性    别</w:t>
            </w:r>
          </w:p>
        </w:tc>
        <w:tc>
          <w:tcPr>
            <w:tcW w:w="2235" w:type="dxa"/>
          </w:tcPr>
          <w:p>
            <w:pPr>
              <w:spacing w:line="640" w:lineRule="exact"/>
              <w:rPr>
                <w:rFonts w:ascii="宋体" w:hAnsi="宋体"/>
                <w:szCs w:val="21"/>
              </w:rPr>
            </w:pPr>
          </w:p>
        </w:tc>
        <w:tc>
          <w:tcPr>
            <w:tcW w:w="1125" w:type="dxa"/>
          </w:tcPr>
          <w:p>
            <w:pPr>
              <w:spacing w:line="640" w:lineRule="exact"/>
              <w:ind w:left="57"/>
              <w:rPr>
                <w:rFonts w:ascii="宋体" w:hAnsi="宋体"/>
                <w:szCs w:val="21"/>
              </w:rPr>
            </w:pPr>
            <w:r>
              <w:rPr>
                <w:rFonts w:hint="eastAsia" w:ascii="宋体" w:hAnsi="宋体"/>
                <w:szCs w:val="21"/>
              </w:rPr>
              <w:t>毕业学校</w:t>
            </w:r>
          </w:p>
        </w:tc>
        <w:tc>
          <w:tcPr>
            <w:tcW w:w="2340"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20" w:type="dxa"/>
            <w:gridSpan w:val="2"/>
          </w:tcPr>
          <w:p>
            <w:pPr>
              <w:spacing w:line="640" w:lineRule="exact"/>
              <w:ind w:firstLine="630" w:firstLineChars="300"/>
              <w:rPr>
                <w:rFonts w:ascii="宋体" w:hAnsi="宋体"/>
                <w:szCs w:val="21"/>
              </w:rPr>
            </w:pPr>
            <w:r>
              <w:rPr>
                <w:rFonts w:hint="eastAsia" w:ascii="宋体" w:hAnsi="宋体"/>
                <w:szCs w:val="21"/>
              </w:rPr>
              <w:t>学历和专业</w:t>
            </w:r>
          </w:p>
        </w:tc>
        <w:tc>
          <w:tcPr>
            <w:tcW w:w="2235" w:type="dxa"/>
          </w:tcPr>
          <w:p>
            <w:pPr>
              <w:spacing w:line="640" w:lineRule="exact"/>
              <w:rPr>
                <w:rFonts w:ascii="宋体" w:hAnsi="宋体"/>
                <w:szCs w:val="21"/>
              </w:rPr>
            </w:pPr>
          </w:p>
        </w:tc>
        <w:tc>
          <w:tcPr>
            <w:tcW w:w="1125" w:type="dxa"/>
          </w:tcPr>
          <w:p>
            <w:pPr>
              <w:spacing w:line="640" w:lineRule="exact"/>
              <w:ind w:left="57"/>
              <w:rPr>
                <w:rFonts w:ascii="宋体" w:hAnsi="宋体"/>
                <w:szCs w:val="21"/>
              </w:rPr>
            </w:pPr>
            <w:r>
              <w:rPr>
                <w:rFonts w:hint="eastAsia" w:ascii="宋体" w:hAnsi="宋体"/>
                <w:szCs w:val="21"/>
              </w:rPr>
              <w:t>毕业时间</w:t>
            </w:r>
          </w:p>
        </w:tc>
        <w:tc>
          <w:tcPr>
            <w:tcW w:w="2340"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20" w:type="dxa"/>
            <w:gridSpan w:val="2"/>
          </w:tcPr>
          <w:p>
            <w:pPr>
              <w:spacing w:line="640" w:lineRule="exact"/>
              <w:ind w:firstLine="420" w:firstLineChars="200"/>
              <w:rPr>
                <w:rFonts w:ascii="宋体" w:hAnsi="宋体"/>
                <w:szCs w:val="21"/>
              </w:rPr>
            </w:pPr>
            <w:r>
              <w:rPr>
                <w:rFonts w:hint="eastAsia" w:ascii="宋体" w:hAnsi="宋体"/>
                <w:szCs w:val="21"/>
              </w:rPr>
              <w:t>拥有的执业资格</w:t>
            </w:r>
          </w:p>
        </w:tc>
        <w:tc>
          <w:tcPr>
            <w:tcW w:w="2235" w:type="dxa"/>
          </w:tcPr>
          <w:p>
            <w:pPr>
              <w:spacing w:line="640" w:lineRule="exact"/>
              <w:rPr>
                <w:rFonts w:ascii="宋体" w:hAnsi="宋体"/>
                <w:szCs w:val="21"/>
              </w:rPr>
            </w:pPr>
          </w:p>
        </w:tc>
        <w:tc>
          <w:tcPr>
            <w:tcW w:w="1125" w:type="dxa"/>
          </w:tcPr>
          <w:p>
            <w:pPr>
              <w:spacing w:line="640" w:lineRule="exact"/>
              <w:ind w:left="57"/>
              <w:rPr>
                <w:rFonts w:ascii="宋体" w:hAnsi="宋体"/>
                <w:szCs w:val="21"/>
              </w:rPr>
            </w:pPr>
            <w:r>
              <w:rPr>
                <w:rFonts w:hint="eastAsia" w:ascii="宋体" w:hAnsi="宋体"/>
                <w:szCs w:val="21"/>
              </w:rPr>
              <w:t>专业职称</w:t>
            </w:r>
          </w:p>
        </w:tc>
        <w:tc>
          <w:tcPr>
            <w:tcW w:w="2340"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20" w:type="dxa"/>
            <w:gridSpan w:val="2"/>
          </w:tcPr>
          <w:p>
            <w:pPr>
              <w:spacing w:line="640" w:lineRule="exact"/>
              <w:ind w:firstLine="315" w:firstLineChars="150"/>
              <w:rPr>
                <w:rFonts w:ascii="宋体" w:hAnsi="宋体"/>
                <w:szCs w:val="21"/>
              </w:rPr>
            </w:pPr>
            <w:r>
              <w:rPr>
                <w:rFonts w:hint="eastAsia" w:ascii="宋体" w:hAnsi="宋体"/>
                <w:szCs w:val="21"/>
              </w:rPr>
              <w:t>执业资格证书编号</w:t>
            </w:r>
          </w:p>
        </w:tc>
        <w:tc>
          <w:tcPr>
            <w:tcW w:w="2235" w:type="dxa"/>
          </w:tcPr>
          <w:p>
            <w:pPr>
              <w:spacing w:line="640" w:lineRule="exact"/>
              <w:rPr>
                <w:rFonts w:ascii="宋体" w:hAnsi="宋体"/>
                <w:szCs w:val="21"/>
              </w:rPr>
            </w:pPr>
          </w:p>
        </w:tc>
        <w:tc>
          <w:tcPr>
            <w:tcW w:w="1125" w:type="dxa"/>
          </w:tcPr>
          <w:p>
            <w:pPr>
              <w:spacing w:line="640" w:lineRule="exact"/>
              <w:ind w:left="57"/>
              <w:rPr>
                <w:rFonts w:ascii="宋体" w:hAnsi="宋体"/>
                <w:szCs w:val="21"/>
              </w:rPr>
            </w:pPr>
            <w:r>
              <w:rPr>
                <w:rFonts w:hint="eastAsia" w:ascii="宋体" w:hAnsi="宋体"/>
                <w:szCs w:val="21"/>
              </w:rPr>
              <w:t>工作年限</w:t>
            </w:r>
          </w:p>
        </w:tc>
        <w:tc>
          <w:tcPr>
            <w:tcW w:w="2340" w:type="dxa"/>
          </w:tcPr>
          <w:p>
            <w:pPr>
              <w:spacing w:line="6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0" w:hRule="atLeast"/>
        </w:trPr>
        <w:tc>
          <w:tcPr>
            <w:tcW w:w="1035" w:type="dxa"/>
            <w:vAlign w:val="center"/>
          </w:tcPr>
          <w:p>
            <w:pPr>
              <w:spacing w:line="400" w:lineRule="exact"/>
              <w:jc w:val="center"/>
              <w:rPr>
                <w:rFonts w:ascii="宋体" w:hAnsi="宋体"/>
                <w:szCs w:val="21"/>
              </w:rPr>
            </w:pPr>
            <w:r>
              <w:rPr>
                <w:rFonts w:hint="eastAsia" w:ascii="宋体" w:hAnsi="宋体"/>
                <w:szCs w:val="21"/>
              </w:rPr>
              <w:t>主</w:t>
            </w:r>
          </w:p>
          <w:p>
            <w:pPr>
              <w:spacing w:line="400" w:lineRule="exact"/>
              <w:jc w:val="center"/>
              <w:rPr>
                <w:rFonts w:ascii="宋体" w:hAnsi="宋体"/>
                <w:szCs w:val="21"/>
              </w:rPr>
            </w:pPr>
            <w:r>
              <w:rPr>
                <w:rFonts w:hint="eastAsia" w:ascii="宋体" w:hAnsi="宋体"/>
                <w:szCs w:val="21"/>
              </w:rPr>
              <w:t>要</w:t>
            </w:r>
          </w:p>
          <w:p>
            <w:pPr>
              <w:spacing w:line="400" w:lineRule="exact"/>
              <w:jc w:val="center"/>
              <w:rPr>
                <w:rFonts w:ascii="宋体" w:hAnsi="宋体"/>
                <w:szCs w:val="21"/>
              </w:rPr>
            </w:pPr>
            <w:r>
              <w:rPr>
                <w:rFonts w:hint="eastAsia" w:ascii="宋体" w:hAnsi="宋体"/>
                <w:szCs w:val="21"/>
              </w:rPr>
              <w:t>工</w:t>
            </w:r>
          </w:p>
          <w:p>
            <w:pPr>
              <w:spacing w:line="400" w:lineRule="exact"/>
              <w:jc w:val="center"/>
              <w:rPr>
                <w:rFonts w:ascii="宋体" w:hAnsi="宋体"/>
                <w:szCs w:val="21"/>
              </w:rPr>
            </w:pPr>
            <w:r>
              <w:rPr>
                <w:rFonts w:hint="eastAsia" w:ascii="宋体" w:hAnsi="宋体"/>
                <w:szCs w:val="21"/>
              </w:rPr>
              <w:t>作</w:t>
            </w:r>
          </w:p>
          <w:p>
            <w:pPr>
              <w:spacing w:line="400" w:lineRule="exact"/>
              <w:jc w:val="center"/>
              <w:rPr>
                <w:rFonts w:ascii="宋体" w:hAnsi="宋体"/>
                <w:szCs w:val="21"/>
              </w:rPr>
            </w:pPr>
            <w:r>
              <w:rPr>
                <w:rFonts w:hint="eastAsia" w:ascii="宋体" w:hAnsi="宋体"/>
                <w:szCs w:val="21"/>
              </w:rPr>
              <w:t>业</w:t>
            </w:r>
          </w:p>
          <w:p>
            <w:pPr>
              <w:spacing w:line="400" w:lineRule="exact"/>
              <w:jc w:val="center"/>
              <w:rPr>
                <w:rFonts w:ascii="宋体" w:hAnsi="宋体"/>
                <w:szCs w:val="21"/>
              </w:rPr>
            </w:pPr>
            <w:r>
              <w:rPr>
                <w:rFonts w:hint="eastAsia" w:ascii="宋体" w:hAnsi="宋体"/>
                <w:szCs w:val="21"/>
              </w:rPr>
              <w:t>绩</w:t>
            </w:r>
          </w:p>
          <w:p>
            <w:pPr>
              <w:spacing w:line="400" w:lineRule="exact"/>
              <w:jc w:val="center"/>
              <w:rPr>
                <w:rFonts w:ascii="宋体" w:hAnsi="宋体"/>
                <w:szCs w:val="21"/>
              </w:rPr>
            </w:pPr>
            <w:r>
              <w:rPr>
                <w:rFonts w:hint="eastAsia" w:ascii="宋体" w:hAnsi="宋体"/>
                <w:szCs w:val="21"/>
              </w:rPr>
              <w:t>及</w:t>
            </w:r>
          </w:p>
          <w:p>
            <w:pPr>
              <w:spacing w:line="400" w:lineRule="exact"/>
              <w:jc w:val="center"/>
              <w:rPr>
                <w:rFonts w:ascii="宋体" w:hAnsi="宋体"/>
                <w:szCs w:val="21"/>
              </w:rPr>
            </w:pPr>
            <w:r>
              <w:rPr>
                <w:rFonts w:hint="eastAsia" w:ascii="宋体" w:hAnsi="宋体"/>
                <w:szCs w:val="21"/>
              </w:rPr>
              <w:t>担</w:t>
            </w:r>
          </w:p>
          <w:p>
            <w:pPr>
              <w:spacing w:line="400" w:lineRule="exact"/>
              <w:jc w:val="center"/>
              <w:rPr>
                <w:rFonts w:ascii="宋体" w:hAnsi="宋体"/>
                <w:szCs w:val="21"/>
              </w:rPr>
            </w:pPr>
            <w:r>
              <w:rPr>
                <w:rFonts w:hint="eastAsia" w:ascii="宋体" w:hAnsi="宋体"/>
                <w:szCs w:val="21"/>
              </w:rPr>
              <w:t>任</w:t>
            </w:r>
          </w:p>
          <w:p>
            <w:pPr>
              <w:spacing w:line="400" w:lineRule="exact"/>
              <w:jc w:val="center"/>
              <w:rPr>
                <w:rFonts w:ascii="宋体" w:hAnsi="宋体"/>
                <w:szCs w:val="21"/>
              </w:rPr>
            </w:pPr>
            <w:r>
              <w:rPr>
                <w:rFonts w:hint="eastAsia" w:ascii="宋体" w:hAnsi="宋体"/>
                <w:szCs w:val="21"/>
              </w:rPr>
              <w:t>的</w:t>
            </w:r>
          </w:p>
          <w:p>
            <w:pPr>
              <w:spacing w:line="400" w:lineRule="exact"/>
              <w:jc w:val="center"/>
              <w:rPr>
                <w:rFonts w:ascii="宋体" w:hAnsi="宋体"/>
                <w:szCs w:val="21"/>
              </w:rPr>
            </w:pPr>
            <w:r>
              <w:rPr>
                <w:rFonts w:hint="eastAsia" w:ascii="宋体" w:hAnsi="宋体"/>
                <w:szCs w:val="21"/>
              </w:rPr>
              <w:t>主</w:t>
            </w:r>
          </w:p>
          <w:p>
            <w:pPr>
              <w:spacing w:line="400" w:lineRule="exact"/>
              <w:jc w:val="center"/>
              <w:rPr>
                <w:rFonts w:ascii="宋体" w:hAnsi="宋体"/>
                <w:szCs w:val="21"/>
              </w:rPr>
            </w:pPr>
            <w:r>
              <w:rPr>
                <w:rFonts w:hint="eastAsia" w:ascii="宋体" w:hAnsi="宋体"/>
                <w:szCs w:val="21"/>
              </w:rPr>
              <w:t>要</w:t>
            </w:r>
          </w:p>
          <w:p>
            <w:pPr>
              <w:spacing w:line="400" w:lineRule="exact"/>
              <w:jc w:val="center"/>
              <w:rPr>
                <w:rFonts w:ascii="宋体" w:hAnsi="宋体"/>
                <w:szCs w:val="21"/>
              </w:rPr>
            </w:pPr>
            <w:r>
              <w:rPr>
                <w:rFonts w:hint="eastAsia" w:ascii="宋体" w:hAnsi="宋体"/>
                <w:szCs w:val="21"/>
              </w:rPr>
              <w:t>工</w:t>
            </w:r>
          </w:p>
          <w:p>
            <w:pPr>
              <w:spacing w:line="400" w:lineRule="exact"/>
              <w:jc w:val="center"/>
              <w:rPr>
                <w:rFonts w:ascii="宋体" w:hAnsi="宋体"/>
                <w:szCs w:val="21"/>
              </w:rPr>
            </w:pPr>
            <w:r>
              <w:rPr>
                <w:rFonts w:hint="eastAsia" w:ascii="宋体" w:hAnsi="宋体"/>
                <w:szCs w:val="21"/>
              </w:rPr>
              <w:t>作</w:t>
            </w:r>
          </w:p>
          <w:p>
            <w:pPr>
              <w:spacing w:line="400" w:lineRule="exact"/>
              <w:jc w:val="center"/>
              <w:rPr>
                <w:rFonts w:ascii="宋体" w:hAnsi="宋体"/>
                <w:szCs w:val="21"/>
              </w:rPr>
            </w:pPr>
          </w:p>
        </w:tc>
        <w:tc>
          <w:tcPr>
            <w:tcW w:w="7185" w:type="dxa"/>
            <w:gridSpan w:val="4"/>
            <w:vAlign w:val="center"/>
          </w:tcPr>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spacing w:line="640" w:lineRule="exact"/>
              <w:rPr>
                <w:rFonts w:ascii="宋体" w:hAnsi="宋体"/>
                <w:szCs w:val="21"/>
              </w:rPr>
            </w:pPr>
          </w:p>
        </w:tc>
      </w:tr>
    </w:tbl>
    <w:p>
      <w:pPr>
        <w:spacing w:beforeLines="50" w:afterLines="100" w:line="440" w:lineRule="exact"/>
        <w:ind w:right="420"/>
        <w:jc w:val="center"/>
        <w:outlineLvl w:val="0"/>
        <w:rPr>
          <w:rFonts w:ascii="黑体" w:hAnsi="宋体" w:eastAsia="黑体"/>
          <w:sz w:val="28"/>
          <w:szCs w:val="28"/>
        </w:rPr>
      </w:pPr>
      <w:r>
        <w:rPr>
          <w:rFonts w:ascii="宋体" w:hAnsi="宋体"/>
          <w:szCs w:val="21"/>
        </w:rPr>
        <w:br w:type="page"/>
      </w:r>
      <w:bookmarkEnd w:id="771"/>
      <w:bookmarkEnd w:id="772"/>
      <w:bookmarkEnd w:id="773"/>
      <w:bookmarkStart w:id="774" w:name="_Toc152045807"/>
      <w:bookmarkStart w:id="775" w:name="_Toc312072343"/>
      <w:bookmarkStart w:id="776" w:name="_Toc269311006"/>
      <w:bookmarkStart w:id="777" w:name="_Toc144974875"/>
      <w:bookmarkStart w:id="778" w:name="_Toc152042596"/>
      <w:r>
        <w:rPr>
          <w:rFonts w:hint="eastAsia" w:ascii="黑体" w:hAnsi="宋体" w:eastAsia="黑体"/>
          <w:sz w:val="28"/>
          <w:szCs w:val="28"/>
        </w:rPr>
        <w:t>六、拟分包计划表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843" w:type="dxa"/>
            <w:vMerge w:val="restart"/>
            <w:tcMar>
              <w:left w:w="108" w:type="dxa"/>
              <w:right w:w="108" w:type="dxa"/>
            </w:tcMar>
            <w:vAlign w:val="center"/>
          </w:tcPr>
          <w:p>
            <w:pPr>
              <w:jc w:val="center"/>
              <w:rPr>
                <w:rFonts w:ascii="宋体" w:hAnsi="宋体"/>
                <w:szCs w:val="21"/>
              </w:rPr>
            </w:pPr>
            <w:r>
              <w:rPr>
                <w:rFonts w:hint="eastAsia" w:ascii="宋体" w:hAnsi="宋体"/>
                <w:szCs w:val="21"/>
              </w:rPr>
              <w:t>拟分包项目名称、范围及理由</w:t>
            </w:r>
          </w:p>
        </w:tc>
        <w:tc>
          <w:tcPr>
            <w:tcW w:w="5111" w:type="dxa"/>
            <w:gridSpan w:val="5"/>
            <w:tcMar>
              <w:left w:w="108" w:type="dxa"/>
              <w:right w:w="108" w:type="dxa"/>
            </w:tcMar>
            <w:vAlign w:val="center"/>
          </w:tcPr>
          <w:p>
            <w:pPr>
              <w:jc w:val="center"/>
              <w:rPr>
                <w:rFonts w:ascii="宋体" w:hAnsi="宋体"/>
                <w:szCs w:val="21"/>
              </w:rPr>
            </w:pPr>
            <w:r>
              <w:rPr>
                <w:rFonts w:hint="eastAsia" w:ascii="宋体" w:hAnsi="宋体"/>
                <w:szCs w:val="21"/>
              </w:rPr>
              <w:t>拟选分包人</w:t>
            </w:r>
          </w:p>
        </w:tc>
        <w:tc>
          <w:tcPr>
            <w:tcW w:w="983" w:type="dxa"/>
            <w:vMerge w:val="restart"/>
            <w:tcMar>
              <w:left w:w="108" w:type="dxa"/>
              <w:right w:w="108" w:type="dxa"/>
            </w:tcMar>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1701" w:type="dxa"/>
            <w:gridSpan w:val="2"/>
            <w:tcMar>
              <w:left w:w="108" w:type="dxa"/>
              <w:right w:w="108" w:type="dxa"/>
            </w:tcMar>
            <w:vAlign w:val="center"/>
          </w:tcPr>
          <w:p>
            <w:pPr>
              <w:jc w:val="center"/>
              <w:rPr>
                <w:rFonts w:ascii="宋体" w:hAnsi="宋体"/>
                <w:szCs w:val="21"/>
              </w:rPr>
            </w:pPr>
            <w:r>
              <w:rPr>
                <w:rFonts w:hint="eastAsia" w:ascii="宋体" w:hAnsi="宋体"/>
                <w:szCs w:val="21"/>
              </w:rPr>
              <w:t>拟选分包人名称</w:t>
            </w:r>
          </w:p>
        </w:tc>
        <w:tc>
          <w:tcPr>
            <w:tcW w:w="1123" w:type="dxa"/>
            <w:tcMar>
              <w:left w:w="108" w:type="dxa"/>
              <w:right w:w="108" w:type="dxa"/>
            </w:tcMar>
            <w:vAlign w:val="center"/>
          </w:tcPr>
          <w:p>
            <w:pPr>
              <w:jc w:val="center"/>
              <w:rPr>
                <w:rFonts w:ascii="宋体" w:hAnsi="宋体"/>
                <w:szCs w:val="21"/>
              </w:rPr>
            </w:pPr>
            <w:r>
              <w:rPr>
                <w:rFonts w:hint="eastAsia" w:ascii="宋体" w:hAnsi="宋体"/>
                <w:szCs w:val="21"/>
              </w:rPr>
              <w:t>注册地点</w:t>
            </w:r>
          </w:p>
        </w:tc>
        <w:tc>
          <w:tcPr>
            <w:tcW w:w="1090" w:type="dxa"/>
            <w:tcMar>
              <w:left w:w="108" w:type="dxa"/>
              <w:right w:w="108" w:type="dxa"/>
            </w:tcMar>
            <w:vAlign w:val="center"/>
          </w:tcPr>
          <w:p>
            <w:pPr>
              <w:jc w:val="center"/>
              <w:rPr>
                <w:rFonts w:ascii="宋体" w:hAnsi="宋体"/>
                <w:szCs w:val="21"/>
              </w:rPr>
            </w:pPr>
            <w:r>
              <w:rPr>
                <w:rFonts w:hint="eastAsia" w:ascii="宋体" w:hAnsi="宋体"/>
                <w:szCs w:val="21"/>
              </w:rPr>
              <w:t>企业资质</w:t>
            </w:r>
          </w:p>
        </w:tc>
        <w:tc>
          <w:tcPr>
            <w:tcW w:w="1197" w:type="dxa"/>
            <w:tcMar>
              <w:left w:w="108" w:type="dxa"/>
              <w:right w:w="108" w:type="dxa"/>
            </w:tcMar>
            <w:vAlign w:val="center"/>
          </w:tcPr>
          <w:p>
            <w:pPr>
              <w:jc w:val="center"/>
              <w:rPr>
                <w:rFonts w:ascii="宋体" w:hAnsi="宋体"/>
                <w:szCs w:val="21"/>
              </w:rPr>
            </w:pPr>
            <w:r>
              <w:rPr>
                <w:rFonts w:hint="eastAsia" w:ascii="宋体" w:hAnsi="宋体"/>
                <w:szCs w:val="21"/>
              </w:rPr>
              <w:t>有关业绩</w:t>
            </w:r>
          </w:p>
        </w:tc>
        <w:tc>
          <w:tcPr>
            <w:tcW w:w="983" w:type="dxa"/>
            <w:vMerge w:val="continue"/>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szCs w:val="21"/>
              </w:rPr>
            </w:pPr>
          </w:p>
        </w:tc>
        <w:tc>
          <w:tcPr>
            <w:tcW w:w="1843" w:type="dxa"/>
            <w:vMerge w:val="restart"/>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szCs w:val="21"/>
              </w:rPr>
            </w:pPr>
          </w:p>
        </w:tc>
        <w:tc>
          <w:tcPr>
            <w:tcW w:w="1843" w:type="dxa"/>
            <w:vMerge w:val="restart"/>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szCs w:val="21"/>
              </w:rPr>
            </w:pPr>
          </w:p>
        </w:tc>
        <w:tc>
          <w:tcPr>
            <w:tcW w:w="1843" w:type="dxa"/>
            <w:vMerge w:val="restart"/>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szCs w:val="21"/>
              </w:rPr>
            </w:pPr>
          </w:p>
        </w:tc>
        <w:tc>
          <w:tcPr>
            <w:tcW w:w="1843" w:type="dxa"/>
            <w:vMerge w:val="restart"/>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1</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2</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szCs w:val="21"/>
              </w:rPr>
            </w:pPr>
          </w:p>
        </w:tc>
        <w:tc>
          <w:tcPr>
            <w:tcW w:w="1843" w:type="dxa"/>
            <w:vMerge w:val="continue"/>
            <w:tcMar>
              <w:left w:w="108" w:type="dxa"/>
              <w:right w:w="108" w:type="dxa"/>
            </w:tcMar>
            <w:vAlign w:val="center"/>
          </w:tcPr>
          <w:p>
            <w:pPr>
              <w:jc w:val="center"/>
              <w:rPr>
                <w:rFonts w:ascii="宋体" w:hAnsi="宋体"/>
                <w:szCs w:val="21"/>
              </w:rPr>
            </w:pPr>
          </w:p>
        </w:tc>
        <w:tc>
          <w:tcPr>
            <w:tcW w:w="751" w:type="dxa"/>
            <w:tcMar>
              <w:left w:w="108" w:type="dxa"/>
              <w:right w:w="108" w:type="dxa"/>
            </w:tcMar>
            <w:vAlign w:val="center"/>
          </w:tcPr>
          <w:p>
            <w:pPr>
              <w:jc w:val="center"/>
              <w:rPr>
                <w:rFonts w:ascii="黑体" w:hAnsi="宋体" w:eastAsia="黑体"/>
                <w:szCs w:val="21"/>
              </w:rPr>
            </w:pPr>
            <w:r>
              <w:rPr>
                <w:rFonts w:hint="eastAsia" w:ascii="黑体" w:hAnsi="宋体" w:eastAsia="黑体"/>
                <w:szCs w:val="21"/>
              </w:rPr>
              <w:t>3</w:t>
            </w:r>
          </w:p>
        </w:tc>
        <w:tc>
          <w:tcPr>
            <w:tcW w:w="950" w:type="dxa"/>
            <w:tcMar>
              <w:left w:w="108" w:type="dxa"/>
              <w:right w:w="108" w:type="dxa"/>
            </w:tcMar>
            <w:vAlign w:val="center"/>
          </w:tcPr>
          <w:p>
            <w:pPr>
              <w:jc w:val="center"/>
              <w:rPr>
                <w:rFonts w:ascii="宋体" w:hAnsi="宋体"/>
                <w:szCs w:val="21"/>
              </w:rPr>
            </w:pPr>
          </w:p>
        </w:tc>
        <w:tc>
          <w:tcPr>
            <w:tcW w:w="1123" w:type="dxa"/>
            <w:tcMar>
              <w:left w:w="108" w:type="dxa"/>
              <w:right w:w="108" w:type="dxa"/>
            </w:tcMar>
            <w:vAlign w:val="center"/>
          </w:tcPr>
          <w:p>
            <w:pPr>
              <w:jc w:val="center"/>
              <w:rPr>
                <w:rFonts w:ascii="宋体" w:hAnsi="宋体"/>
                <w:szCs w:val="21"/>
              </w:rPr>
            </w:pPr>
          </w:p>
        </w:tc>
        <w:tc>
          <w:tcPr>
            <w:tcW w:w="1090" w:type="dxa"/>
            <w:tcMar>
              <w:left w:w="108" w:type="dxa"/>
              <w:right w:w="108" w:type="dxa"/>
            </w:tcMar>
            <w:vAlign w:val="center"/>
          </w:tcPr>
          <w:p>
            <w:pPr>
              <w:jc w:val="center"/>
              <w:rPr>
                <w:rFonts w:ascii="宋体" w:hAnsi="宋体"/>
                <w:szCs w:val="21"/>
              </w:rPr>
            </w:pPr>
          </w:p>
        </w:tc>
        <w:tc>
          <w:tcPr>
            <w:tcW w:w="1197" w:type="dxa"/>
            <w:tcMar>
              <w:left w:w="108" w:type="dxa"/>
              <w:right w:w="108" w:type="dxa"/>
            </w:tcMar>
            <w:vAlign w:val="center"/>
          </w:tcPr>
          <w:p>
            <w:pPr>
              <w:jc w:val="center"/>
              <w:rPr>
                <w:rFonts w:ascii="宋体" w:hAnsi="宋体"/>
                <w:szCs w:val="21"/>
              </w:rPr>
            </w:pPr>
          </w:p>
        </w:tc>
        <w:tc>
          <w:tcPr>
            <w:tcW w:w="983" w:type="dxa"/>
            <w:tcMar>
              <w:left w:w="108" w:type="dxa"/>
              <w:right w:w="108" w:type="dxa"/>
            </w:tcMar>
            <w:vAlign w:val="center"/>
          </w:tcPr>
          <w:p>
            <w:pPr>
              <w:jc w:val="center"/>
              <w:rPr>
                <w:rFonts w:ascii="宋体" w:hAnsi="宋体"/>
                <w:szCs w:val="21"/>
              </w:rPr>
            </w:pPr>
          </w:p>
        </w:tc>
      </w:tr>
    </w:tbl>
    <w:p>
      <w:pPr>
        <w:spacing w:line="440" w:lineRule="exact"/>
        <w:ind w:right="420"/>
        <w:rPr>
          <w:rFonts w:ascii="宋体" w:hAnsi="宋体"/>
          <w:szCs w:val="21"/>
        </w:rPr>
      </w:pPr>
      <w:r>
        <w:rPr>
          <w:rFonts w:hint="eastAsia" w:ascii="黑体" w:hAnsi="宋体" w:eastAsia="黑体"/>
          <w:szCs w:val="21"/>
        </w:rPr>
        <w:t>备注：</w:t>
      </w:r>
      <w:r>
        <w:rPr>
          <w:rFonts w:hint="eastAsia" w:ascii="宋体" w:hAnsi="宋体"/>
          <w:szCs w:val="21"/>
        </w:rPr>
        <w:t>本表所列分包仅限于承包人自行施工范围内的非主体、非关键工程。</w:t>
      </w:r>
    </w:p>
    <w:p>
      <w:pPr>
        <w:wordWrap w:val="0"/>
        <w:spacing w:line="440" w:lineRule="exact"/>
        <w:ind w:right="420"/>
        <w:jc w:val="right"/>
        <w:rPr>
          <w:rFonts w:ascii="宋体" w:hAnsi="宋体"/>
          <w:szCs w:val="21"/>
        </w:rPr>
      </w:pPr>
      <w:r>
        <w:rPr>
          <w:rFonts w:hint="eastAsia" w:ascii="宋体" w:hAnsi="宋体"/>
          <w:szCs w:val="21"/>
        </w:rPr>
        <w:t xml:space="preserve">日    期：       年     月     日  </w:t>
      </w: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p>
      <w:pPr>
        <w:topLinePunct/>
        <w:spacing w:line="360" w:lineRule="exact"/>
        <w:jc w:val="center"/>
        <w:rPr>
          <w:sz w:val="32"/>
          <w:szCs w:val="32"/>
        </w:rPr>
      </w:pPr>
    </w:p>
    <w:bookmarkEnd w:id="774"/>
    <w:bookmarkEnd w:id="775"/>
    <w:bookmarkEnd w:id="776"/>
    <w:bookmarkEnd w:id="777"/>
    <w:bookmarkEnd w:id="778"/>
    <w:p>
      <w:pPr>
        <w:spacing w:beforeLines="100" w:afterLines="50" w:line="440" w:lineRule="exact"/>
        <w:jc w:val="center"/>
        <w:outlineLvl w:val="0"/>
        <w:rPr>
          <w:rFonts w:ascii="黑体" w:hAnsi="宋体" w:eastAsia="黑体"/>
          <w:sz w:val="28"/>
          <w:szCs w:val="28"/>
        </w:rPr>
      </w:pPr>
      <w:bookmarkStart w:id="779" w:name="_Toc312072351"/>
      <w:r>
        <w:rPr>
          <w:rFonts w:hint="eastAsia" w:ascii="黑体" w:hAnsi="宋体" w:eastAsia="黑体"/>
          <w:sz w:val="28"/>
          <w:szCs w:val="28"/>
        </w:rPr>
        <w:t>七、资格审查资料</w:t>
      </w:r>
    </w:p>
    <w:p>
      <w:pPr>
        <w:spacing w:beforeLines="50" w:afterLines="100" w:line="440" w:lineRule="exact"/>
        <w:outlineLvl w:val="0"/>
        <w:rPr>
          <w:rFonts w:ascii="黑体" w:hAnsi="宋体" w:eastAsia="黑体"/>
          <w:sz w:val="24"/>
        </w:rPr>
      </w:pPr>
      <w:r>
        <w:rPr>
          <w:rFonts w:hint="eastAsia" w:ascii="黑体" w:hAnsi="宋体" w:eastAsia="黑体"/>
          <w:sz w:val="24"/>
        </w:rPr>
        <w:t>（一）投标人基本情况表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投标人名称</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注册地址</w:t>
            </w:r>
          </w:p>
        </w:tc>
        <w:tc>
          <w:tcPr>
            <w:tcW w:w="3389" w:type="dxa"/>
            <w:gridSpan w:val="5"/>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邮政编码</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szCs w:val="21"/>
              </w:rPr>
            </w:pPr>
            <w:r>
              <w:rPr>
                <w:rFonts w:hint="eastAsia" w:ascii="宋体" w:hAnsi="宋体"/>
                <w:szCs w:val="21"/>
              </w:rPr>
              <w:t>联系方式</w:t>
            </w:r>
          </w:p>
        </w:tc>
        <w:tc>
          <w:tcPr>
            <w:tcW w:w="897" w:type="dxa"/>
            <w:vAlign w:val="center"/>
          </w:tcPr>
          <w:p>
            <w:pPr>
              <w:jc w:val="center"/>
              <w:rPr>
                <w:rFonts w:ascii="宋体" w:hAnsi="宋体"/>
                <w:szCs w:val="21"/>
              </w:rPr>
            </w:pPr>
            <w:r>
              <w:rPr>
                <w:rFonts w:hint="eastAsia" w:ascii="宋体" w:hAnsi="宋体"/>
                <w:szCs w:val="21"/>
              </w:rPr>
              <w:t>联系人</w:t>
            </w:r>
          </w:p>
        </w:tc>
        <w:tc>
          <w:tcPr>
            <w:tcW w:w="2492" w:type="dxa"/>
            <w:gridSpan w:val="4"/>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电  话</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szCs w:val="21"/>
              </w:rPr>
            </w:pPr>
          </w:p>
        </w:tc>
        <w:tc>
          <w:tcPr>
            <w:tcW w:w="897" w:type="dxa"/>
            <w:vAlign w:val="center"/>
          </w:tcPr>
          <w:p>
            <w:pPr>
              <w:jc w:val="center"/>
              <w:rPr>
                <w:rFonts w:ascii="宋体" w:hAnsi="宋体"/>
                <w:szCs w:val="21"/>
              </w:rPr>
            </w:pPr>
            <w:r>
              <w:rPr>
                <w:rFonts w:hint="eastAsia" w:ascii="宋体" w:hAnsi="宋体"/>
                <w:szCs w:val="21"/>
              </w:rPr>
              <w:t>传  真</w:t>
            </w:r>
          </w:p>
        </w:tc>
        <w:tc>
          <w:tcPr>
            <w:tcW w:w="2492" w:type="dxa"/>
            <w:gridSpan w:val="4"/>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网  址</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组织结构</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法定代表人</w:t>
            </w:r>
          </w:p>
        </w:tc>
        <w:tc>
          <w:tcPr>
            <w:tcW w:w="897" w:type="dxa"/>
            <w:vAlign w:val="center"/>
          </w:tcPr>
          <w:p>
            <w:pPr>
              <w:jc w:val="center"/>
              <w:rPr>
                <w:rFonts w:ascii="宋体" w:hAnsi="宋体"/>
                <w:szCs w:val="21"/>
              </w:rPr>
            </w:pPr>
            <w:r>
              <w:rPr>
                <w:rFonts w:hint="eastAsia" w:ascii="宋体" w:hAnsi="宋体"/>
                <w:szCs w:val="21"/>
              </w:rPr>
              <w:t>姓名</w:t>
            </w:r>
          </w:p>
        </w:tc>
        <w:tc>
          <w:tcPr>
            <w:tcW w:w="1021" w:type="dxa"/>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技术职称</w:t>
            </w:r>
          </w:p>
        </w:tc>
        <w:tc>
          <w:tcPr>
            <w:tcW w:w="1701" w:type="dxa"/>
            <w:gridSpan w:val="3"/>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技术负责人</w:t>
            </w:r>
          </w:p>
        </w:tc>
        <w:tc>
          <w:tcPr>
            <w:tcW w:w="897" w:type="dxa"/>
            <w:vAlign w:val="center"/>
          </w:tcPr>
          <w:p>
            <w:pPr>
              <w:jc w:val="center"/>
              <w:rPr>
                <w:rFonts w:ascii="宋体" w:hAnsi="宋体"/>
                <w:szCs w:val="21"/>
              </w:rPr>
            </w:pPr>
            <w:r>
              <w:rPr>
                <w:rFonts w:hint="eastAsia" w:ascii="宋体" w:hAnsi="宋体"/>
                <w:szCs w:val="21"/>
              </w:rPr>
              <w:t>姓名</w:t>
            </w:r>
          </w:p>
        </w:tc>
        <w:tc>
          <w:tcPr>
            <w:tcW w:w="1021" w:type="dxa"/>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技术职称</w:t>
            </w:r>
          </w:p>
        </w:tc>
        <w:tc>
          <w:tcPr>
            <w:tcW w:w="1701" w:type="dxa"/>
            <w:gridSpan w:val="3"/>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成立时间</w:t>
            </w:r>
          </w:p>
        </w:tc>
        <w:tc>
          <w:tcPr>
            <w:tcW w:w="1918" w:type="dxa"/>
            <w:gridSpan w:val="2"/>
            <w:vAlign w:val="center"/>
          </w:tcPr>
          <w:p>
            <w:pPr>
              <w:jc w:val="center"/>
              <w:rPr>
                <w:rFonts w:ascii="宋体" w:hAnsi="宋体"/>
                <w:szCs w:val="21"/>
              </w:rPr>
            </w:pPr>
          </w:p>
        </w:tc>
        <w:tc>
          <w:tcPr>
            <w:tcW w:w="5102" w:type="dxa"/>
            <w:gridSpan w:val="7"/>
            <w:vAlign w:val="center"/>
          </w:tcPr>
          <w:p>
            <w:pPr>
              <w:jc w:val="cente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企业资质等级</w:t>
            </w:r>
          </w:p>
        </w:tc>
        <w:tc>
          <w:tcPr>
            <w:tcW w:w="897" w:type="dxa"/>
            <w:vAlign w:val="center"/>
          </w:tcPr>
          <w:p>
            <w:pPr>
              <w:jc w:val="center"/>
              <w:rPr>
                <w:rFonts w:ascii="宋体" w:hAnsi="宋体"/>
                <w:szCs w:val="21"/>
              </w:rPr>
            </w:pPr>
          </w:p>
        </w:tc>
        <w:tc>
          <w:tcPr>
            <w:tcW w:w="1021" w:type="dxa"/>
            <w:vAlign w:val="center"/>
          </w:tcPr>
          <w:p>
            <w:pPr>
              <w:jc w:val="center"/>
              <w:rPr>
                <w:rFonts w:ascii="宋体" w:hAnsi="宋体"/>
                <w:szCs w:val="21"/>
              </w:rPr>
            </w:pPr>
          </w:p>
        </w:tc>
        <w:tc>
          <w:tcPr>
            <w:tcW w:w="993" w:type="dxa"/>
            <w:vMerge w:val="restart"/>
            <w:vAlign w:val="center"/>
          </w:tcPr>
          <w:p>
            <w:pPr>
              <w:jc w:val="center"/>
              <w:rPr>
                <w:rFonts w:ascii="宋体" w:hAnsi="宋体"/>
                <w:szCs w:val="21"/>
              </w:rPr>
            </w:pPr>
            <w:r>
              <w:rPr>
                <w:rFonts w:hint="eastAsia" w:ascii="宋体" w:hAnsi="宋体"/>
                <w:szCs w:val="21"/>
              </w:rPr>
              <w:t>其中</w:t>
            </w:r>
          </w:p>
        </w:tc>
        <w:tc>
          <w:tcPr>
            <w:tcW w:w="1984" w:type="dxa"/>
            <w:gridSpan w:val="4"/>
            <w:vAlign w:val="center"/>
          </w:tcPr>
          <w:p>
            <w:pPr>
              <w:jc w:val="center"/>
              <w:rPr>
                <w:rFonts w:ascii="宋体" w:hAnsi="宋体"/>
                <w:szCs w:val="21"/>
              </w:rPr>
            </w:pPr>
            <w:r>
              <w:rPr>
                <w:rFonts w:hint="eastAsia" w:ascii="宋体" w:hAnsi="宋体"/>
                <w:szCs w:val="21"/>
              </w:rPr>
              <w:t>项目经理</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营业执照号</w:t>
            </w:r>
          </w:p>
        </w:tc>
        <w:tc>
          <w:tcPr>
            <w:tcW w:w="897" w:type="dxa"/>
            <w:vAlign w:val="center"/>
          </w:tcPr>
          <w:p>
            <w:pPr>
              <w:jc w:val="center"/>
              <w:rPr>
                <w:rFonts w:ascii="宋体" w:hAnsi="宋体"/>
                <w:szCs w:val="21"/>
              </w:rPr>
            </w:pPr>
          </w:p>
        </w:tc>
        <w:tc>
          <w:tcPr>
            <w:tcW w:w="1021" w:type="dxa"/>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高级职称人员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注册资金</w:t>
            </w:r>
          </w:p>
        </w:tc>
        <w:tc>
          <w:tcPr>
            <w:tcW w:w="897" w:type="dxa"/>
            <w:vAlign w:val="center"/>
          </w:tcPr>
          <w:p>
            <w:pPr>
              <w:jc w:val="center"/>
              <w:rPr>
                <w:rFonts w:ascii="宋体" w:hAnsi="宋体"/>
                <w:szCs w:val="21"/>
              </w:rPr>
            </w:pPr>
          </w:p>
        </w:tc>
        <w:tc>
          <w:tcPr>
            <w:tcW w:w="1021" w:type="dxa"/>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中级职称人员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开户银行</w:t>
            </w:r>
          </w:p>
        </w:tc>
        <w:tc>
          <w:tcPr>
            <w:tcW w:w="897" w:type="dxa"/>
            <w:vAlign w:val="center"/>
          </w:tcPr>
          <w:p>
            <w:pPr>
              <w:jc w:val="center"/>
              <w:rPr>
                <w:rFonts w:ascii="宋体" w:hAnsi="宋体"/>
                <w:szCs w:val="21"/>
              </w:rPr>
            </w:pPr>
          </w:p>
        </w:tc>
        <w:tc>
          <w:tcPr>
            <w:tcW w:w="1021" w:type="dxa"/>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初级职称人员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账号</w:t>
            </w:r>
          </w:p>
        </w:tc>
        <w:tc>
          <w:tcPr>
            <w:tcW w:w="897" w:type="dxa"/>
            <w:vAlign w:val="center"/>
          </w:tcPr>
          <w:p>
            <w:pPr>
              <w:jc w:val="center"/>
              <w:rPr>
                <w:rFonts w:ascii="宋体" w:hAnsi="宋体"/>
                <w:szCs w:val="21"/>
              </w:rPr>
            </w:pPr>
          </w:p>
        </w:tc>
        <w:tc>
          <w:tcPr>
            <w:tcW w:w="1021" w:type="dxa"/>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技  工</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pPr>
              <w:jc w:val="center"/>
              <w:rPr>
                <w:rFonts w:ascii="宋体" w:hAnsi="宋体"/>
                <w:szCs w:val="21"/>
              </w:rPr>
            </w:pPr>
            <w:r>
              <w:rPr>
                <w:rFonts w:hint="eastAsia" w:ascii="宋体" w:hAnsi="宋体"/>
                <w:szCs w:val="21"/>
              </w:rPr>
              <w:t>经营范围</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备注</w:t>
            </w:r>
          </w:p>
        </w:tc>
        <w:tc>
          <w:tcPr>
            <w:tcW w:w="7020" w:type="dxa"/>
            <w:gridSpan w:val="9"/>
            <w:vAlign w:val="center"/>
          </w:tcPr>
          <w:p>
            <w:pPr>
              <w:jc w:val="center"/>
              <w:rPr>
                <w:rFonts w:ascii="宋体" w:hAnsi="宋体"/>
                <w:szCs w:val="21"/>
              </w:rPr>
            </w:pPr>
          </w:p>
        </w:tc>
      </w:tr>
    </w:tbl>
    <w:p>
      <w:pPr>
        <w:pStyle w:val="15"/>
      </w:pPr>
      <w:r>
        <w:rPr>
          <w:rFonts w:hint="eastAsia" w:ascii="黑体" w:hAnsi="宋体" w:eastAsia="黑体"/>
          <w:szCs w:val="21"/>
        </w:rPr>
        <w:t>备注：</w:t>
      </w:r>
      <w:r>
        <w:rPr>
          <w:rFonts w:hint="eastAsia" w:ascii="宋体" w:hAnsi="宋体"/>
          <w:szCs w:val="21"/>
        </w:rPr>
        <w:t>本表后应附企业法人营业执照及其年检合格的证明材料、企业资质证书副本、安全生产许可证等材料的</w:t>
      </w:r>
      <w:r>
        <w:rPr>
          <w:rFonts w:hint="eastAsia"/>
        </w:rPr>
        <w:t>扫描件。</w:t>
      </w:r>
    </w:p>
    <w:p>
      <w:pPr>
        <w:spacing w:line="440" w:lineRule="exact"/>
        <w:rPr>
          <w:rFonts w:ascii="宋体" w:hAnsi="宋体"/>
          <w:szCs w:val="21"/>
        </w:rPr>
      </w:pPr>
    </w:p>
    <w:p>
      <w:pPr>
        <w:spacing w:beforeLines="50" w:afterLines="100" w:line="440" w:lineRule="exact"/>
        <w:outlineLvl w:val="0"/>
        <w:rPr>
          <w:rFonts w:ascii="黑体" w:hAnsi="宋体" w:eastAsia="黑体"/>
          <w:sz w:val="24"/>
        </w:rPr>
      </w:pPr>
      <w:r>
        <w:rPr>
          <w:rFonts w:ascii="宋体" w:hAnsi="宋体"/>
          <w:szCs w:val="21"/>
        </w:rPr>
        <w:br w:type="page"/>
      </w:r>
      <w:r>
        <w:rPr>
          <w:rFonts w:hint="eastAsia" w:ascii="黑体" w:hAnsi="宋体" w:eastAsia="黑体"/>
          <w:sz w:val="24"/>
        </w:rPr>
        <w:t>（二）近年财务状况表</w:t>
      </w:r>
    </w:p>
    <w:p>
      <w:pPr>
        <w:spacing w:line="440" w:lineRule="exact"/>
        <w:ind w:left="630" w:hanging="630" w:hangingChars="300"/>
        <w:rPr>
          <w:rFonts w:ascii="宋体" w:hAnsi="宋体"/>
          <w:szCs w:val="21"/>
        </w:rPr>
      </w:pPr>
      <w:r>
        <w:rPr>
          <w:rFonts w:hint="eastAsia" w:ascii="黑体" w:hAnsi="宋体" w:eastAsia="黑体"/>
          <w:szCs w:val="21"/>
        </w:rPr>
        <w:t>备注：</w:t>
      </w:r>
      <w:r>
        <w:rPr>
          <w:rFonts w:hint="eastAsia" w:ascii="宋体" w:hAnsi="宋体"/>
          <w:szCs w:val="21"/>
        </w:rPr>
        <w:t>在此附经会计师事务所或审计机构审计的财务财务会计报表，包括资产负债表、损益表、现金流量表、利润表和财务情况说明书的扫描件，具体年份要求见第二章“投标人须知”的规定。</w:t>
      </w:r>
    </w:p>
    <w:p>
      <w:pPr>
        <w:spacing w:beforeLines="50" w:afterLines="50" w:line="440" w:lineRule="exact"/>
        <w:ind w:left="630" w:hanging="630" w:hangingChars="300"/>
        <w:outlineLvl w:val="0"/>
        <w:rPr>
          <w:rFonts w:ascii="黑体" w:hAnsi="宋体" w:eastAsia="黑体"/>
          <w:sz w:val="24"/>
        </w:rPr>
      </w:pPr>
      <w:r>
        <w:rPr>
          <w:rFonts w:ascii="宋体" w:hAnsi="宋体"/>
          <w:szCs w:val="21"/>
        </w:rPr>
        <w:br w:type="page"/>
      </w:r>
      <w:r>
        <w:rPr>
          <w:rFonts w:hint="eastAsia" w:ascii="黑体" w:hAnsi="宋体" w:eastAsia="黑体"/>
          <w:sz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项目名称</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项目所在地</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发包人名称</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发包人地址</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发包人联系人及电话</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合同价格</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开工日期</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竣工日期</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承担的工作</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工程质量</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项目经理</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技术负责人</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总监理工程师及电话</w:t>
            </w:r>
          </w:p>
        </w:tc>
        <w:tc>
          <w:tcPr>
            <w:tcW w:w="609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pPr>
              <w:jc w:val="center"/>
              <w:rPr>
                <w:rFonts w:ascii="宋体" w:hAnsi="宋体"/>
                <w:szCs w:val="21"/>
              </w:rPr>
            </w:pPr>
            <w:r>
              <w:rPr>
                <w:rFonts w:hint="eastAsia" w:ascii="宋体" w:hAnsi="宋体"/>
                <w:szCs w:val="21"/>
              </w:rPr>
              <w:t>项目描述</w:t>
            </w:r>
          </w:p>
        </w:tc>
        <w:tc>
          <w:tcPr>
            <w:tcW w:w="6094"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Cs w:val="21"/>
              </w:rPr>
            </w:pPr>
            <w:r>
              <w:rPr>
                <w:rFonts w:hint="eastAsia" w:ascii="宋体" w:hAnsi="宋体"/>
                <w:szCs w:val="21"/>
              </w:rPr>
              <w:t>备注</w:t>
            </w:r>
          </w:p>
        </w:tc>
        <w:tc>
          <w:tcPr>
            <w:tcW w:w="6094"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bl>
    <w:p>
      <w:pPr>
        <w:spacing w:line="440" w:lineRule="exact"/>
        <w:ind w:left="630" w:leftChars="300"/>
        <w:rPr>
          <w:rFonts w:ascii="宋体" w:hAnsi="宋体"/>
          <w:szCs w:val="21"/>
        </w:rPr>
      </w:pPr>
    </w:p>
    <w:p>
      <w:pPr>
        <w:spacing w:beforeLines="50" w:afterLines="50" w:line="440" w:lineRule="exact"/>
        <w:outlineLvl w:val="0"/>
        <w:rPr>
          <w:rFonts w:ascii="黑体" w:hAnsi="宋体" w:eastAsia="黑体"/>
          <w:sz w:val="24"/>
        </w:rPr>
      </w:pPr>
      <w:r>
        <w:rPr>
          <w:rFonts w:ascii="宋体" w:hAnsi="宋体"/>
          <w:szCs w:val="21"/>
        </w:rPr>
        <w:br w:type="page"/>
      </w:r>
      <w:r>
        <w:rPr>
          <w:rFonts w:hint="eastAsia" w:ascii="黑体" w:hAnsi="宋体" w:eastAsia="黑体"/>
          <w:sz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项目名称</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项目所在地</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发包人名称</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发包人地址</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发包人电话</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签约合同价</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开工日期</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计划竣工日期</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承担的工作</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工程质量</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项目经理</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技术负责人</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总监理工程师及电话</w:t>
            </w:r>
          </w:p>
        </w:tc>
        <w:tc>
          <w:tcPr>
            <w:tcW w:w="609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pPr>
              <w:jc w:val="center"/>
              <w:rPr>
                <w:rFonts w:ascii="宋体" w:hAnsi="宋体"/>
                <w:szCs w:val="21"/>
              </w:rPr>
            </w:pPr>
            <w:r>
              <w:rPr>
                <w:rFonts w:hint="eastAsia" w:ascii="宋体" w:hAnsi="宋体"/>
                <w:szCs w:val="21"/>
              </w:rPr>
              <w:t>项目描述</w:t>
            </w:r>
          </w:p>
        </w:tc>
        <w:tc>
          <w:tcPr>
            <w:tcW w:w="6095"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Cs w:val="21"/>
              </w:rPr>
            </w:pPr>
            <w:r>
              <w:rPr>
                <w:rFonts w:hint="eastAsia" w:ascii="宋体" w:hAnsi="宋体"/>
                <w:szCs w:val="21"/>
              </w:rPr>
              <w:t>备注</w:t>
            </w:r>
          </w:p>
        </w:tc>
        <w:tc>
          <w:tcPr>
            <w:tcW w:w="6095"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bl>
    <w:p>
      <w:pPr>
        <w:spacing w:beforeLines="50" w:afterLines="100" w:line="440" w:lineRule="exact"/>
        <w:outlineLvl w:val="0"/>
        <w:rPr>
          <w:rFonts w:ascii="黑体" w:hAnsi="宋体" w:eastAsia="黑体"/>
          <w:sz w:val="24"/>
        </w:rPr>
      </w:pPr>
      <w:r>
        <w:rPr>
          <w:rFonts w:ascii="宋体" w:hAnsi="宋体"/>
          <w:szCs w:val="21"/>
        </w:rPr>
        <w:br w:type="page"/>
      </w:r>
      <w:r>
        <w:rPr>
          <w:rFonts w:hint="eastAsia" w:ascii="黑体" w:hAnsi="宋体" w:eastAsia="黑体"/>
          <w:sz w:val="24"/>
        </w:rPr>
        <w:t>（五）近年发生的诉讼和仲裁情况</w:t>
      </w:r>
    </w:p>
    <w:p>
      <w:pPr>
        <w:spacing w:line="440" w:lineRule="exact"/>
        <w:ind w:left="630" w:hanging="630" w:hangingChars="300"/>
        <w:rPr>
          <w:rFonts w:ascii="宋体" w:hAnsi="宋体"/>
          <w:szCs w:val="21"/>
        </w:rPr>
      </w:pPr>
      <w:r>
        <w:rPr>
          <w:rFonts w:hint="eastAsia" w:ascii="黑体" w:hAnsi="宋体" w:eastAsia="黑体"/>
          <w:szCs w:val="21"/>
        </w:rPr>
        <w:t>说明：</w:t>
      </w:r>
      <w:r>
        <w:rPr>
          <w:rFonts w:hint="eastAsia" w:ascii="宋体" w:hAnsi="宋体"/>
          <w:szCs w:val="21"/>
        </w:rPr>
        <w:t>近年发生的诉讼和仲裁情况仅限于投标人败诉的，且与履行施工承包合同有关的案件，不包括调解结案以及未裁决的仲裁或未终审判决的诉讼。</w:t>
      </w:r>
    </w:p>
    <w:p>
      <w:pPr>
        <w:spacing w:beforeLines="50" w:afterLines="50" w:line="440" w:lineRule="exact"/>
        <w:ind w:left="630" w:hanging="630" w:hangingChars="300"/>
        <w:outlineLvl w:val="0"/>
        <w:rPr>
          <w:rFonts w:ascii="黑体" w:hAnsi="宋体" w:eastAsia="黑体"/>
          <w:sz w:val="24"/>
        </w:rPr>
      </w:pPr>
      <w:r>
        <w:rPr>
          <w:rFonts w:ascii="宋体" w:hAnsi="宋体"/>
          <w:szCs w:val="21"/>
        </w:rPr>
        <w:br w:type="page"/>
      </w:r>
      <w:r>
        <w:rPr>
          <w:rFonts w:hint="eastAsia" w:ascii="黑体" w:hAnsi="宋体" w:eastAsia="黑体"/>
          <w:sz w:val="24"/>
        </w:rPr>
        <w:t>（六）企业其他信誉情况表</w:t>
      </w:r>
      <w:r>
        <w:rPr>
          <w:rFonts w:hint="eastAsia" w:ascii="楷体_GB2312" w:hAnsi="宋体" w:eastAsia="楷体_GB2312"/>
          <w:sz w:val="24"/>
        </w:rPr>
        <w:t>（年份要求同诉讼及仲裁情况年份要求）</w:t>
      </w:r>
    </w:p>
    <w:p>
      <w:pPr>
        <w:spacing w:line="440" w:lineRule="exact"/>
        <w:ind w:left="630" w:hanging="630" w:hangingChars="300"/>
        <w:rPr>
          <w:rFonts w:ascii="黑体" w:hAnsi="宋体" w:eastAsia="黑体"/>
          <w:szCs w:val="21"/>
        </w:rPr>
      </w:pPr>
      <w:r>
        <w:rPr>
          <w:rFonts w:hint="eastAsia" w:ascii="黑体" w:hAnsi="宋体" w:eastAsia="黑体"/>
          <w:szCs w:val="21"/>
        </w:rPr>
        <w:t>1、近年企业不良行为记录情况</w:t>
      </w: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r>
        <w:rPr>
          <w:rFonts w:hint="eastAsia" w:ascii="黑体" w:hAnsi="宋体" w:eastAsia="黑体"/>
          <w:szCs w:val="21"/>
        </w:rPr>
        <w:t>2、在施工程以及近年已竣工工程合同履行情况</w:t>
      </w: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r>
        <w:rPr>
          <w:rFonts w:hint="eastAsia" w:ascii="黑体" w:hAnsi="宋体" w:eastAsia="黑体"/>
          <w:szCs w:val="21"/>
        </w:rPr>
        <w:t>3、其  他</w:t>
      </w: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630" w:hanging="630" w:hangingChars="300"/>
        <w:rPr>
          <w:rFonts w:ascii="黑体" w:hAnsi="宋体" w:eastAsia="黑体"/>
          <w:szCs w:val="21"/>
        </w:rPr>
      </w:pPr>
    </w:p>
    <w:p>
      <w:pPr>
        <w:spacing w:line="440" w:lineRule="exact"/>
        <w:ind w:left="945" w:hanging="945" w:hangingChars="450"/>
        <w:rPr>
          <w:rFonts w:ascii="宋体" w:hAnsi="宋体"/>
          <w:szCs w:val="21"/>
        </w:rPr>
      </w:pPr>
      <w:r>
        <w:rPr>
          <w:rFonts w:hint="eastAsia" w:ascii="黑体" w:hAnsi="宋体" w:eastAsia="黑体"/>
          <w:szCs w:val="21"/>
        </w:rPr>
        <w:t>备注：</w:t>
      </w:r>
      <w:r>
        <w:rPr>
          <w:rFonts w:hint="eastAsia" w:ascii="宋体" w:hAnsi="宋体"/>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left="945" w:leftChars="300" w:hanging="315" w:hangingChars="150"/>
        <w:rPr>
          <w:rFonts w:ascii="宋体" w:hAnsi="宋体"/>
          <w:szCs w:val="21"/>
        </w:rPr>
      </w:pPr>
      <w:r>
        <w:rPr>
          <w:rFonts w:hint="eastAsia" w:ascii="宋体" w:hAnsi="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pPr>
        <w:spacing w:line="440" w:lineRule="exact"/>
        <w:ind w:left="1080" w:leftChars="300" w:hanging="450" w:hangingChars="150"/>
        <w:jc w:val="center"/>
        <w:rPr>
          <w:sz w:val="30"/>
          <w:szCs w:val="30"/>
        </w:rPr>
      </w:pPr>
    </w:p>
    <w:p>
      <w:pPr>
        <w:spacing w:line="440" w:lineRule="exact"/>
        <w:ind w:left="1080" w:leftChars="300" w:hanging="450" w:hangingChars="150"/>
        <w:jc w:val="center"/>
        <w:rPr>
          <w:sz w:val="30"/>
          <w:szCs w:val="30"/>
        </w:rPr>
      </w:pPr>
    </w:p>
    <w:p>
      <w:pPr>
        <w:spacing w:line="440" w:lineRule="exact"/>
        <w:ind w:left="1080" w:leftChars="300" w:hanging="450" w:hangingChars="150"/>
        <w:jc w:val="center"/>
        <w:rPr>
          <w:sz w:val="30"/>
          <w:szCs w:val="30"/>
        </w:rPr>
      </w:pPr>
    </w:p>
    <w:p>
      <w:pPr>
        <w:spacing w:line="440" w:lineRule="exact"/>
        <w:ind w:left="1080" w:leftChars="300" w:hanging="450" w:hangingChars="150"/>
        <w:jc w:val="center"/>
        <w:rPr>
          <w:sz w:val="30"/>
          <w:szCs w:val="30"/>
        </w:rPr>
      </w:pPr>
    </w:p>
    <w:p>
      <w:pPr>
        <w:spacing w:line="440" w:lineRule="exact"/>
        <w:jc w:val="left"/>
        <w:rPr>
          <w:rFonts w:ascii="方正小标宋简体" w:eastAsia="方正小标宋简体"/>
          <w:sz w:val="32"/>
          <w:szCs w:val="32"/>
        </w:rPr>
      </w:pPr>
      <w:r>
        <w:rPr>
          <w:rFonts w:hint="eastAsia" w:ascii="黑体" w:hAnsi="宋体" w:eastAsia="黑体"/>
          <w:sz w:val="24"/>
        </w:rPr>
        <w:t>（七）投标企业证件资料一览表</w:t>
      </w:r>
    </w:p>
    <w:p>
      <w:pPr>
        <w:spacing w:line="440" w:lineRule="exact"/>
        <w:ind w:left="1110" w:leftChars="300" w:hanging="480" w:hangingChars="150"/>
        <w:jc w:val="center"/>
        <w:rPr>
          <w:rFonts w:ascii="方正小标宋简体" w:hAnsi="宋体" w:eastAsia="方正小标宋简体"/>
          <w:sz w:val="32"/>
          <w:szCs w:val="32"/>
        </w:rPr>
      </w:pPr>
      <w:r>
        <w:rPr>
          <w:rFonts w:hint="eastAsia" w:ascii="方正小标宋简体" w:eastAsia="方正小标宋简体"/>
          <w:sz w:val="32"/>
          <w:szCs w:val="32"/>
        </w:rPr>
        <w:t>投标企业证件资料一览表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588"/>
        <w:gridCol w:w="806"/>
        <w:gridCol w:w="1395"/>
        <w:gridCol w:w="1917"/>
        <w:gridCol w:w="1893"/>
        <w:gridCol w:w="1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投标企业名称</w:t>
            </w:r>
          </w:p>
        </w:tc>
        <w:tc>
          <w:tcPr>
            <w:tcW w:w="7918"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招标项目名称</w:t>
            </w:r>
          </w:p>
        </w:tc>
        <w:tc>
          <w:tcPr>
            <w:tcW w:w="7918"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法定代表人</w:t>
            </w:r>
          </w:p>
        </w:tc>
        <w:tc>
          <w:tcPr>
            <w:tcW w:w="4118"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联系电话</w:t>
            </w:r>
          </w:p>
        </w:tc>
        <w:tc>
          <w:tcPr>
            <w:tcW w:w="1896"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联系人</w:t>
            </w:r>
          </w:p>
        </w:tc>
        <w:tc>
          <w:tcPr>
            <w:tcW w:w="4118"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r>
              <w:rPr>
                <w:rFonts w:hint="eastAsia"/>
              </w:rPr>
              <w:t>联系电话</w:t>
            </w:r>
          </w:p>
        </w:tc>
        <w:tc>
          <w:tcPr>
            <w:tcW w:w="1896"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9" w:type="dxa"/>
            <w:vMerge w:val="restart"/>
            <w:tcBorders>
              <w:top w:val="single" w:color="auto" w:sz="4" w:space="0"/>
              <w:left w:val="single" w:color="auto" w:sz="4" w:space="0"/>
              <w:right w:val="single" w:color="auto" w:sz="4" w:space="0"/>
            </w:tcBorders>
            <w:vAlign w:val="center"/>
          </w:tcPr>
          <w:p>
            <w:pPr>
              <w:topLinePunct/>
              <w:spacing w:line="320" w:lineRule="exact"/>
              <w:jc w:val="center"/>
            </w:pPr>
            <w:r>
              <w:rPr>
                <w:rFonts w:hint="eastAsia"/>
              </w:rPr>
              <w:t>项目管理机构人员资格证件</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姓名</w:t>
            </w:r>
          </w:p>
        </w:tc>
        <w:tc>
          <w:tcPr>
            <w:tcW w:w="1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职务</w:t>
            </w:r>
          </w:p>
        </w:tc>
        <w:tc>
          <w:tcPr>
            <w:tcW w:w="191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资格证件（一）</w:t>
            </w:r>
          </w:p>
        </w:tc>
        <w:tc>
          <w:tcPr>
            <w:tcW w:w="189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资格证件（二）</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9" w:type="dxa"/>
            <w:vMerge w:val="continue"/>
            <w:tcBorders>
              <w:left w:val="single" w:color="auto" w:sz="4" w:space="0"/>
              <w:right w:val="single" w:color="auto" w:sz="4" w:space="0"/>
            </w:tcBorders>
            <w:vAlign w:val="center"/>
          </w:tcPr>
          <w:p>
            <w:pPr>
              <w:topLinePunct/>
              <w:spacing w:line="320" w:lineRule="exact"/>
              <w:jc w:val="center"/>
            </w:pPr>
          </w:p>
        </w:tc>
        <w:tc>
          <w:tcPr>
            <w:tcW w:w="139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1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89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9" w:type="dxa"/>
            <w:vMerge w:val="continue"/>
            <w:tcBorders>
              <w:left w:val="single" w:color="auto" w:sz="4" w:space="0"/>
              <w:right w:val="single" w:color="auto" w:sz="4" w:space="0"/>
            </w:tcBorders>
            <w:vAlign w:val="center"/>
          </w:tcPr>
          <w:p>
            <w:pPr>
              <w:topLinePunct/>
              <w:spacing w:line="320" w:lineRule="exact"/>
              <w:jc w:val="center"/>
            </w:pPr>
          </w:p>
        </w:tc>
        <w:tc>
          <w:tcPr>
            <w:tcW w:w="139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1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89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9" w:type="dxa"/>
            <w:vMerge w:val="continue"/>
            <w:tcBorders>
              <w:left w:val="single" w:color="auto" w:sz="4" w:space="0"/>
              <w:right w:val="single" w:color="auto" w:sz="4" w:space="0"/>
            </w:tcBorders>
            <w:vAlign w:val="center"/>
          </w:tcPr>
          <w:p>
            <w:pPr>
              <w:topLinePunct/>
              <w:spacing w:line="320" w:lineRule="exact"/>
              <w:jc w:val="center"/>
            </w:pPr>
          </w:p>
        </w:tc>
        <w:tc>
          <w:tcPr>
            <w:tcW w:w="139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1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89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9" w:type="dxa"/>
            <w:vMerge w:val="continue"/>
            <w:tcBorders>
              <w:left w:val="single" w:color="auto" w:sz="4" w:space="0"/>
              <w:bottom w:val="single" w:color="auto" w:sz="4" w:space="0"/>
              <w:right w:val="single" w:color="auto" w:sz="4" w:space="0"/>
            </w:tcBorders>
            <w:vAlign w:val="center"/>
          </w:tcPr>
          <w:p>
            <w:pPr>
              <w:topLinePunct/>
              <w:spacing w:line="320" w:lineRule="exact"/>
              <w:jc w:val="center"/>
            </w:pPr>
          </w:p>
        </w:tc>
        <w:tc>
          <w:tcPr>
            <w:tcW w:w="139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39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1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893"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9" w:type="dxa"/>
            <w:vMerge w:val="restart"/>
            <w:tcBorders>
              <w:left w:val="single" w:color="auto" w:sz="4" w:space="0"/>
              <w:right w:val="single" w:color="auto" w:sz="4" w:space="0"/>
            </w:tcBorders>
            <w:vAlign w:val="center"/>
          </w:tcPr>
          <w:p>
            <w:pPr>
              <w:topLinePunct/>
              <w:spacing w:line="320" w:lineRule="exact"/>
              <w:jc w:val="center"/>
            </w:pPr>
            <w:r>
              <w:rPr>
                <w:rFonts w:hint="eastAsia"/>
              </w:rPr>
              <w:t>项目负责人业绩及获奖</w:t>
            </w:r>
          </w:p>
        </w:tc>
        <w:tc>
          <w:tcPr>
            <w:tcW w:w="2789" w:type="dxa"/>
            <w:gridSpan w:val="3"/>
            <w:tcBorders>
              <w:top w:val="single" w:color="auto" w:sz="4" w:space="0"/>
              <w:left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获奖项目名称及奖项名称</w:t>
            </w:r>
          </w:p>
        </w:tc>
        <w:tc>
          <w:tcPr>
            <w:tcW w:w="5717" w:type="dxa"/>
            <w:gridSpan w:val="4"/>
            <w:tcBorders>
              <w:top w:val="single" w:color="auto" w:sz="4" w:space="0"/>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9" w:type="dxa"/>
            <w:vMerge w:val="continue"/>
            <w:tcBorders>
              <w:left w:val="single" w:color="auto" w:sz="4" w:space="0"/>
              <w:right w:val="single" w:color="auto" w:sz="4" w:space="0"/>
            </w:tcBorders>
            <w:vAlign w:val="center"/>
          </w:tcPr>
          <w:p>
            <w:pPr>
              <w:topLinePunct/>
              <w:spacing w:line="320" w:lineRule="exact"/>
              <w:jc w:val="center"/>
            </w:pPr>
          </w:p>
        </w:tc>
        <w:tc>
          <w:tcPr>
            <w:tcW w:w="2789" w:type="dxa"/>
            <w:gridSpan w:val="3"/>
            <w:tcBorders>
              <w:top w:val="single" w:color="auto" w:sz="4" w:space="0"/>
              <w:left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同类业绩项目名称</w:t>
            </w:r>
          </w:p>
        </w:tc>
        <w:tc>
          <w:tcPr>
            <w:tcW w:w="5717" w:type="dxa"/>
            <w:gridSpan w:val="4"/>
            <w:tcBorders>
              <w:top w:val="single" w:color="auto" w:sz="4" w:space="0"/>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9" w:type="dxa"/>
            <w:vMerge w:val="restart"/>
            <w:tcBorders>
              <w:left w:val="single" w:color="auto" w:sz="4" w:space="0"/>
              <w:right w:val="single" w:color="auto" w:sz="4" w:space="0"/>
            </w:tcBorders>
            <w:vAlign w:val="center"/>
          </w:tcPr>
          <w:p>
            <w:pPr>
              <w:topLinePunct/>
              <w:spacing w:line="320" w:lineRule="exact"/>
              <w:jc w:val="center"/>
            </w:pPr>
            <w:r>
              <w:rPr>
                <w:rFonts w:hint="eastAsia"/>
              </w:rPr>
              <w:t>企业业绩及获奖</w:t>
            </w:r>
          </w:p>
        </w:tc>
        <w:tc>
          <w:tcPr>
            <w:tcW w:w="2789" w:type="dxa"/>
            <w:gridSpan w:val="3"/>
            <w:tcBorders>
              <w:left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获奖项目名称及奖项名称</w:t>
            </w:r>
          </w:p>
        </w:tc>
        <w:tc>
          <w:tcPr>
            <w:tcW w:w="5717" w:type="dxa"/>
            <w:gridSpan w:val="4"/>
            <w:tcBorders>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9" w:type="dxa"/>
            <w:vMerge w:val="continue"/>
            <w:tcBorders>
              <w:left w:val="single" w:color="auto" w:sz="4" w:space="0"/>
              <w:right w:val="single" w:color="auto" w:sz="4" w:space="0"/>
            </w:tcBorders>
            <w:vAlign w:val="center"/>
          </w:tcPr>
          <w:p>
            <w:pPr>
              <w:topLinePunct/>
              <w:spacing w:line="320" w:lineRule="exact"/>
              <w:jc w:val="center"/>
            </w:pPr>
          </w:p>
        </w:tc>
        <w:tc>
          <w:tcPr>
            <w:tcW w:w="2789" w:type="dxa"/>
            <w:gridSpan w:val="3"/>
            <w:tcBorders>
              <w:left w:val="single" w:color="auto" w:sz="4" w:space="0"/>
              <w:right w:val="single" w:color="auto" w:sz="4" w:space="0"/>
            </w:tcBorders>
            <w:vAlign w:val="center"/>
          </w:tcPr>
          <w:p>
            <w:pPr>
              <w:topLinePunct/>
              <w:spacing w:line="320" w:lineRule="exact"/>
              <w:jc w:val="center"/>
              <w:rPr>
                <w:rFonts w:ascii="黑体" w:hAnsi="黑体" w:eastAsia="黑体"/>
              </w:rPr>
            </w:pPr>
            <w:r>
              <w:rPr>
                <w:rFonts w:hint="eastAsia" w:ascii="黑体" w:hAnsi="黑体" w:eastAsia="黑体"/>
              </w:rPr>
              <w:t>同类业绩项目名称</w:t>
            </w:r>
          </w:p>
        </w:tc>
        <w:tc>
          <w:tcPr>
            <w:tcW w:w="5717" w:type="dxa"/>
            <w:gridSpan w:val="4"/>
            <w:tcBorders>
              <w:top w:val="single" w:color="auto" w:sz="4" w:space="0"/>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19" w:type="dxa"/>
            <w:tcBorders>
              <w:left w:val="single" w:color="auto" w:sz="4" w:space="0"/>
              <w:right w:val="single" w:color="auto" w:sz="4" w:space="0"/>
            </w:tcBorders>
            <w:vAlign w:val="center"/>
          </w:tcPr>
          <w:p>
            <w:pPr>
              <w:topLinePunct/>
              <w:spacing w:line="320" w:lineRule="exact"/>
              <w:jc w:val="center"/>
            </w:pPr>
            <w:r>
              <w:rPr>
                <w:rFonts w:hint="eastAsia"/>
              </w:rPr>
              <w:t>企业信誉</w:t>
            </w:r>
          </w:p>
        </w:tc>
        <w:tc>
          <w:tcPr>
            <w:tcW w:w="8506" w:type="dxa"/>
            <w:gridSpan w:val="7"/>
            <w:tcBorders>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9" w:type="dxa"/>
            <w:tcBorders>
              <w:left w:val="single" w:color="auto" w:sz="4" w:space="0"/>
              <w:right w:val="single" w:color="auto" w:sz="4" w:space="0"/>
            </w:tcBorders>
            <w:vAlign w:val="center"/>
          </w:tcPr>
          <w:p>
            <w:pPr>
              <w:topLinePunct/>
              <w:spacing w:line="320" w:lineRule="exact"/>
              <w:jc w:val="center"/>
            </w:pPr>
            <w:r>
              <w:rPr>
                <w:rFonts w:hint="eastAsia"/>
              </w:rPr>
              <w:t>其他证件、资料</w:t>
            </w:r>
          </w:p>
        </w:tc>
        <w:tc>
          <w:tcPr>
            <w:tcW w:w="8506" w:type="dxa"/>
            <w:gridSpan w:val="7"/>
            <w:tcBorders>
              <w:left w:val="single" w:color="auto" w:sz="4" w:space="0"/>
              <w:right w:val="single" w:color="auto" w:sz="4" w:space="0"/>
            </w:tcBorders>
            <w:vAlign w:val="center"/>
          </w:tcPr>
          <w:p>
            <w:pPr>
              <w:topLinePunct/>
              <w:spacing w:line="320" w:lineRule="exact"/>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企业</w:t>
            </w:r>
          </w:p>
          <w:p>
            <w:pPr>
              <w:topLinePunct/>
              <w:spacing w:line="440" w:lineRule="exact"/>
              <w:jc w:val="center"/>
            </w:pPr>
            <w:r>
              <w:rPr>
                <w:rFonts w:hint="eastAsia"/>
              </w:rPr>
              <w:t>承诺</w:t>
            </w:r>
          </w:p>
        </w:tc>
        <w:tc>
          <w:tcPr>
            <w:tcW w:w="8506" w:type="dxa"/>
            <w:gridSpan w:val="7"/>
            <w:tcBorders>
              <w:top w:val="single" w:color="auto" w:sz="4" w:space="0"/>
              <w:left w:val="single" w:color="auto" w:sz="4" w:space="0"/>
              <w:bottom w:val="single" w:color="auto" w:sz="4" w:space="0"/>
              <w:right w:val="single" w:color="auto" w:sz="4" w:space="0"/>
            </w:tcBorders>
            <w:vAlign w:val="center"/>
          </w:tcPr>
          <w:p>
            <w:pPr>
              <w:topLinePunct/>
              <w:spacing w:line="400" w:lineRule="exact"/>
              <w:rPr>
                <w:b/>
              </w:rPr>
            </w:pPr>
            <w:r>
              <w:rPr>
                <w:rFonts w:hint="eastAsia"/>
                <w:b/>
              </w:rPr>
              <w:t>我单位承诺：</w:t>
            </w:r>
          </w:p>
          <w:p>
            <w:pPr>
              <w:topLinePunct/>
              <w:spacing w:line="400" w:lineRule="exact"/>
              <w:ind w:firstLine="211" w:firstLineChars="100"/>
              <w:rPr>
                <w:b/>
                <w:highlight w:val="yellow"/>
              </w:rPr>
            </w:pPr>
            <w:r>
              <w:rPr>
                <w:rFonts w:hint="eastAsia"/>
                <w:b/>
              </w:rPr>
              <w:t>1、</w:t>
            </w:r>
            <w:r>
              <w:rPr>
                <w:rFonts w:hint="eastAsia"/>
                <w:b/>
                <w:highlight w:val="yellow"/>
              </w:rPr>
              <w:t>所填报信息及提供的证件、资料均真实有效，如有虚假，我单位投标文件作废标处理并接受相应处罚。</w:t>
            </w:r>
          </w:p>
          <w:p>
            <w:pPr>
              <w:topLinePunct/>
              <w:spacing w:line="400" w:lineRule="exact"/>
              <w:ind w:firstLine="417" w:firstLineChars="198"/>
              <w:rPr>
                <w:b/>
              </w:rPr>
            </w:pPr>
            <w:r>
              <w:rPr>
                <w:rFonts w:hint="eastAsia" w:ascii="宋体" w:hAnsi="宋体" w:cs="宋体"/>
                <w:b/>
                <w:bCs/>
                <w:szCs w:val="21"/>
                <w:highlight w:val="cyan"/>
              </w:rPr>
              <w:t>2、我单位提交的投标文件中项目管理班子成员（包括：***、***、***等）均为本单位正式员工，并为以上人员缴纳了社会养老保险。我单位同意在中标结果公示期满无异议、中标通知书发出之前，按招标人要求提供上述人员的社会养老保险缴纳证明材料；若未按要求提供，视为放弃中标资格</w:t>
            </w:r>
            <w:r>
              <w:rPr>
                <w:rFonts w:hint="eastAsia" w:ascii="宋体" w:hAnsi="宋体" w:cs="宋体"/>
                <w:b/>
                <w:bCs/>
                <w:szCs w:val="21"/>
              </w:rPr>
              <w:t>。</w:t>
            </w:r>
            <w:r>
              <w:rPr>
                <w:rFonts w:hint="eastAsia" w:ascii="宋体" w:hAnsi="宋体" w:cs="宋体"/>
                <w:b/>
                <w:bCs/>
                <w:color w:val="FF0000"/>
                <w:szCs w:val="21"/>
              </w:rPr>
              <w:t>（</w:t>
            </w:r>
            <w:r>
              <w:rPr>
                <w:rFonts w:hint="eastAsia"/>
                <w:color w:val="FF0000"/>
              </w:rPr>
              <w:t>如要求相关人员提供养老保险，则保留本项，如不要求相关人员养老保险，则删除本项</w:t>
            </w:r>
            <w:r>
              <w:rPr>
                <w:rFonts w:hint="eastAsia" w:ascii="宋体" w:hAnsi="宋体" w:cs="宋体"/>
                <w:b/>
                <w:bCs/>
                <w:color w:val="FF0000"/>
                <w:szCs w:val="21"/>
              </w:rPr>
              <w:t>）</w:t>
            </w:r>
          </w:p>
        </w:tc>
      </w:tr>
    </w:tbl>
    <w:p>
      <w:pPr>
        <w:spacing w:line="440" w:lineRule="exact"/>
        <w:ind w:firstLine="420" w:firstLineChars="200"/>
        <w:rPr>
          <w:rFonts w:ascii="宋体" w:hAnsi="宋体"/>
          <w:szCs w:val="21"/>
          <w:highlight w:val="green"/>
        </w:rPr>
      </w:pPr>
      <w:r>
        <w:rPr>
          <w:rFonts w:hint="eastAsia" w:ascii="宋体" w:hAnsi="宋体"/>
          <w:szCs w:val="21"/>
          <w:highlight w:val="green"/>
        </w:rPr>
        <w:t>注：</w:t>
      </w:r>
      <w:bookmarkEnd w:id="779"/>
      <w:bookmarkStart w:id="780" w:name="_Toc152042602"/>
      <w:bookmarkStart w:id="781" w:name="_Toc269311014"/>
      <w:bookmarkStart w:id="782" w:name="_Toc312072352"/>
      <w:bookmarkStart w:id="783" w:name="_Toc144974881"/>
      <w:bookmarkStart w:id="784" w:name="_Toc152045813"/>
      <w:r>
        <w:rPr>
          <w:rFonts w:hint="eastAsia" w:ascii="宋体" w:hAnsi="宋体"/>
          <w:szCs w:val="21"/>
          <w:highlight w:val="green"/>
        </w:rPr>
        <w:t>投标企业应针对项目要求和评审标准提交相关证件、资料并在投标文件中附相应扫描件，无关或多余的证件、资料无需提交。</w:t>
      </w:r>
    </w:p>
    <w:p>
      <w:pPr>
        <w:pStyle w:val="66"/>
        <w:spacing w:before="240" w:after="240" w:line="360" w:lineRule="exact"/>
        <w:jc w:val="center"/>
        <w:rPr>
          <w:rFonts w:cs="Times New Roman"/>
          <w:sz w:val="32"/>
          <w:szCs w:val="32"/>
        </w:rPr>
      </w:pPr>
      <w:r>
        <w:rPr>
          <w:rFonts w:hint="eastAsia" w:cs="Times New Roman"/>
          <w:sz w:val="32"/>
          <w:szCs w:val="32"/>
        </w:rPr>
        <w:t>八</w:t>
      </w:r>
      <w:r>
        <w:rPr>
          <w:rFonts w:cs="Times New Roman"/>
          <w:sz w:val="32"/>
          <w:szCs w:val="32"/>
        </w:rPr>
        <w:t>、其他材料</w:t>
      </w:r>
      <w:bookmarkEnd w:id="780"/>
      <w:bookmarkEnd w:id="781"/>
      <w:bookmarkEnd w:id="782"/>
      <w:bookmarkEnd w:id="783"/>
      <w:bookmarkEnd w:id="784"/>
    </w:p>
    <w:p>
      <w:pPr>
        <w:spacing w:line="360" w:lineRule="exact"/>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54</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82</w:t>
    </w:r>
    <w:r>
      <w:rPr>
        <w:lang w:val="zh-CN"/>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495E"/>
    <w:multiLevelType w:val="multilevel"/>
    <w:tmpl w:val="1A65495E"/>
    <w:lvl w:ilvl="0" w:tentative="0">
      <w:start w:val="1"/>
      <w:numFmt w:val="decimal"/>
      <w:lvlText w:val="%1、"/>
      <w:lvlJc w:val="left"/>
      <w:pPr>
        <w:tabs>
          <w:tab w:val="left" w:pos="1280"/>
        </w:tabs>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lowerLetter"/>
      <w:pStyle w:val="79"/>
      <w:lvlText w:val="%5)"/>
      <w:lvlJc w:val="left"/>
      <w:pPr>
        <w:tabs>
          <w:tab w:val="left" w:pos="2660"/>
        </w:tabs>
        <w:ind w:left="2660" w:hanging="4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8F304D0"/>
    <w:multiLevelType w:val="multilevel"/>
    <w:tmpl w:val="38F304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AC50EF"/>
    <w:multiLevelType w:val="singleLevel"/>
    <w:tmpl w:val="5CAC50EF"/>
    <w:lvl w:ilvl="0" w:tentative="0">
      <w:start w:val="6"/>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774B"/>
    <w:rsid w:val="00006431"/>
    <w:rsid w:val="00007D6A"/>
    <w:rsid w:val="00011E5B"/>
    <w:rsid w:val="00012F75"/>
    <w:rsid w:val="00013ACE"/>
    <w:rsid w:val="00015D66"/>
    <w:rsid w:val="00017486"/>
    <w:rsid w:val="000226CA"/>
    <w:rsid w:val="000257FC"/>
    <w:rsid w:val="00025B1F"/>
    <w:rsid w:val="0002757A"/>
    <w:rsid w:val="00027EBE"/>
    <w:rsid w:val="00030EDE"/>
    <w:rsid w:val="0003367D"/>
    <w:rsid w:val="000343E9"/>
    <w:rsid w:val="00035186"/>
    <w:rsid w:val="00037CA6"/>
    <w:rsid w:val="00037E8C"/>
    <w:rsid w:val="000432DC"/>
    <w:rsid w:val="00047A72"/>
    <w:rsid w:val="000522F6"/>
    <w:rsid w:val="000551D7"/>
    <w:rsid w:val="00055D1D"/>
    <w:rsid w:val="00055ED0"/>
    <w:rsid w:val="0005734E"/>
    <w:rsid w:val="000578F5"/>
    <w:rsid w:val="00057C5D"/>
    <w:rsid w:val="000616BB"/>
    <w:rsid w:val="00063E41"/>
    <w:rsid w:val="000671AD"/>
    <w:rsid w:val="00076B96"/>
    <w:rsid w:val="00082D1A"/>
    <w:rsid w:val="00087A54"/>
    <w:rsid w:val="00090D32"/>
    <w:rsid w:val="000944F1"/>
    <w:rsid w:val="00094E58"/>
    <w:rsid w:val="00095654"/>
    <w:rsid w:val="00097B5B"/>
    <w:rsid w:val="000A1E0F"/>
    <w:rsid w:val="000B2F73"/>
    <w:rsid w:val="000B3F11"/>
    <w:rsid w:val="000B4CF9"/>
    <w:rsid w:val="000B7D68"/>
    <w:rsid w:val="000C1F7A"/>
    <w:rsid w:val="000C5B5C"/>
    <w:rsid w:val="000C613F"/>
    <w:rsid w:val="000D0222"/>
    <w:rsid w:val="000D3002"/>
    <w:rsid w:val="000D756A"/>
    <w:rsid w:val="000E0E97"/>
    <w:rsid w:val="000E1E67"/>
    <w:rsid w:val="000E2607"/>
    <w:rsid w:val="000E2B83"/>
    <w:rsid w:val="000E4065"/>
    <w:rsid w:val="000E6F5B"/>
    <w:rsid w:val="000E7E8B"/>
    <w:rsid w:val="000F084F"/>
    <w:rsid w:val="000F1968"/>
    <w:rsid w:val="000F450C"/>
    <w:rsid w:val="00100623"/>
    <w:rsid w:val="00100889"/>
    <w:rsid w:val="00100BC3"/>
    <w:rsid w:val="0010105F"/>
    <w:rsid w:val="00101097"/>
    <w:rsid w:val="0010132E"/>
    <w:rsid w:val="00104E3A"/>
    <w:rsid w:val="001067A8"/>
    <w:rsid w:val="00107B75"/>
    <w:rsid w:val="0011065A"/>
    <w:rsid w:val="001137F5"/>
    <w:rsid w:val="00115F83"/>
    <w:rsid w:val="00122A85"/>
    <w:rsid w:val="0012716D"/>
    <w:rsid w:val="001304C8"/>
    <w:rsid w:val="001305B6"/>
    <w:rsid w:val="0013494C"/>
    <w:rsid w:val="00142808"/>
    <w:rsid w:val="00145F1B"/>
    <w:rsid w:val="001464BB"/>
    <w:rsid w:val="00146973"/>
    <w:rsid w:val="00147194"/>
    <w:rsid w:val="00150A29"/>
    <w:rsid w:val="00150FD1"/>
    <w:rsid w:val="001510ED"/>
    <w:rsid w:val="00151E2C"/>
    <w:rsid w:val="00154D88"/>
    <w:rsid w:val="0016000A"/>
    <w:rsid w:val="00161390"/>
    <w:rsid w:val="00162658"/>
    <w:rsid w:val="0016309D"/>
    <w:rsid w:val="001632D1"/>
    <w:rsid w:val="00164724"/>
    <w:rsid w:val="00167AB4"/>
    <w:rsid w:val="00172426"/>
    <w:rsid w:val="00172CA1"/>
    <w:rsid w:val="001742E7"/>
    <w:rsid w:val="00175C75"/>
    <w:rsid w:val="00177F0F"/>
    <w:rsid w:val="00180278"/>
    <w:rsid w:val="001807C4"/>
    <w:rsid w:val="00182AA6"/>
    <w:rsid w:val="00182F2C"/>
    <w:rsid w:val="00186513"/>
    <w:rsid w:val="0019011A"/>
    <w:rsid w:val="001940A7"/>
    <w:rsid w:val="001A063B"/>
    <w:rsid w:val="001A594F"/>
    <w:rsid w:val="001A7C27"/>
    <w:rsid w:val="001B13A4"/>
    <w:rsid w:val="001B1679"/>
    <w:rsid w:val="001B1770"/>
    <w:rsid w:val="001B3EA3"/>
    <w:rsid w:val="001B6457"/>
    <w:rsid w:val="001C11F9"/>
    <w:rsid w:val="001C2FA8"/>
    <w:rsid w:val="001C4650"/>
    <w:rsid w:val="001C5FF7"/>
    <w:rsid w:val="001C6EBF"/>
    <w:rsid w:val="001C7D24"/>
    <w:rsid w:val="001D4240"/>
    <w:rsid w:val="001E1109"/>
    <w:rsid w:val="001E2BA8"/>
    <w:rsid w:val="001E3544"/>
    <w:rsid w:val="001F07B7"/>
    <w:rsid w:val="001F2498"/>
    <w:rsid w:val="001F5945"/>
    <w:rsid w:val="001F6132"/>
    <w:rsid w:val="001F78AC"/>
    <w:rsid w:val="00201528"/>
    <w:rsid w:val="00202E15"/>
    <w:rsid w:val="00202F15"/>
    <w:rsid w:val="0020350E"/>
    <w:rsid w:val="002056B0"/>
    <w:rsid w:val="00205954"/>
    <w:rsid w:val="002078BB"/>
    <w:rsid w:val="0021005A"/>
    <w:rsid w:val="00213937"/>
    <w:rsid w:val="002141D6"/>
    <w:rsid w:val="002234FB"/>
    <w:rsid w:val="002241CD"/>
    <w:rsid w:val="0022434B"/>
    <w:rsid w:val="0022459B"/>
    <w:rsid w:val="00225767"/>
    <w:rsid w:val="002261DD"/>
    <w:rsid w:val="00231974"/>
    <w:rsid w:val="002340F5"/>
    <w:rsid w:val="00235E1C"/>
    <w:rsid w:val="00237E87"/>
    <w:rsid w:val="00241F5B"/>
    <w:rsid w:val="00242CCD"/>
    <w:rsid w:val="00247423"/>
    <w:rsid w:val="00250037"/>
    <w:rsid w:val="00253A8B"/>
    <w:rsid w:val="00253CBE"/>
    <w:rsid w:val="002541B1"/>
    <w:rsid w:val="002542EC"/>
    <w:rsid w:val="00254B9E"/>
    <w:rsid w:val="00255EF7"/>
    <w:rsid w:val="00260BBA"/>
    <w:rsid w:val="00265BFC"/>
    <w:rsid w:val="002713F2"/>
    <w:rsid w:val="00272991"/>
    <w:rsid w:val="00273E0A"/>
    <w:rsid w:val="00281316"/>
    <w:rsid w:val="00282A58"/>
    <w:rsid w:val="00287CD5"/>
    <w:rsid w:val="00290FE7"/>
    <w:rsid w:val="00293016"/>
    <w:rsid w:val="002A04A5"/>
    <w:rsid w:val="002A05DF"/>
    <w:rsid w:val="002A2AE0"/>
    <w:rsid w:val="002A4EE6"/>
    <w:rsid w:val="002A6D70"/>
    <w:rsid w:val="002B18C1"/>
    <w:rsid w:val="002B5DCC"/>
    <w:rsid w:val="002B63D6"/>
    <w:rsid w:val="002C79BB"/>
    <w:rsid w:val="002D327D"/>
    <w:rsid w:val="002D4C38"/>
    <w:rsid w:val="002D549A"/>
    <w:rsid w:val="002D5798"/>
    <w:rsid w:val="002D7F2E"/>
    <w:rsid w:val="002E0C06"/>
    <w:rsid w:val="002E2FAE"/>
    <w:rsid w:val="002F295A"/>
    <w:rsid w:val="002F2E4A"/>
    <w:rsid w:val="00304993"/>
    <w:rsid w:val="00304BF6"/>
    <w:rsid w:val="00306F44"/>
    <w:rsid w:val="003072E9"/>
    <w:rsid w:val="003100EC"/>
    <w:rsid w:val="00310120"/>
    <w:rsid w:val="00310BDD"/>
    <w:rsid w:val="00310FF8"/>
    <w:rsid w:val="0031121B"/>
    <w:rsid w:val="00312E11"/>
    <w:rsid w:val="00313BB4"/>
    <w:rsid w:val="003174DA"/>
    <w:rsid w:val="00317AEB"/>
    <w:rsid w:val="00321795"/>
    <w:rsid w:val="003245B3"/>
    <w:rsid w:val="00325063"/>
    <w:rsid w:val="00325D54"/>
    <w:rsid w:val="0032654A"/>
    <w:rsid w:val="00326A35"/>
    <w:rsid w:val="00337CC7"/>
    <w:rsid w:val="00337DDB"/>
    <w:rsid w:val="003421E5"/>
    <w:rsid w:val="003424EB"/>
    <w:rsid w:val="00344BB0"/>
    <w:rsid w:val="00353D85"/>
    <w:rsid w:val="00353FBD"/>
    <w:rsid w:val="00355812"/>
    <w:rsid w:val="00362987"/>
    <w:rsid w:val="0036596C"/>
    <w:rsid w:val="00373E4F"/>
    <w:rsid w:val="00380BAB"/>
    <w:rsid w:val="0038226A"/>
    <w:rsid w:val="00383303"/>
    <w:rsid w:val="00385EE2"/>
    <w:rsid w:val="003905DE"/>
    <w:rsid w:val="00391C96"/>
    <w:rsid w:val="00396EFB"/>
    <w:rsid w:val="00397B4A"/>
    <w:rsid w:val="003A34F0"/>
    <w:rsid w:val="003A7C7A"/>
    <w:rsid w:val="003B05C2"/>
    <w:rsid w:val="003B207D"/>
    <w:rsid w:val="003B22F3"/>
    <w:rsid w:val="003B24D0"/>
    <w:rsid w:val="003B2EFD"/>
    <w:rsid w:val="003B31A5"/>
    <w:rsid w:val="003B3983"/>
    <w:rsid w:val="003B3FCB"/>
    <w:rsid w:val="003B5DE4"/>
    <w:rsid w:val="003B693E"/>
    <w:rsid w:val="003C0ED2"/>
    <w:rsid w:val="003C4FB4"/>
    <w:rsid w:val="003C68F0"/>
    <w:rsid w:val="003D0A4D"/>
    <w:rsid w:val="003D2B49"/>
    <w:rsid w:val="003D6B16"/>
    <w:rsid w:val="003D7E54"/>
    <w:rsid w:val="003E13A0"/>
    <w:rsid w:val="003E2F46"/>
    <w:rsid w:val="003E7334"/>
    <w:rsid w:val="003F31C4"/>
    <w:rsid w:val="003F3572"/>
    <w:rsid w:val="00401C76"/>
    <w:rsid w:val="0040310A"/>
    <w:rsid w:val="00405855"/>
    <w:rsid w:val="00406753"/>
    <w:rsid w:val="004101C0"/>
    <w:rsid w:val="004105ED"/>
    <w:rsid w:val="00410D01"/>
    <w:rsid w:val="00416623"/>
    <w:rsid w:val="004177C2"/>
    <w:rsid w:val="00417B1B"/>
    <w:rsid w:val="00417CBE"/>
    <w:rsid w:val="004206EE"/>
    <w:rsid w:val="00421330"/>
    <w:rsid w:val="004219DA"/>
    <w:rsid w:val="004220A7"/>
    <w:rsid w:val="004224B0"/>
    <w:rsid w:val="004261B5"/>
    <w:rsid w:val="004314FE"/>
    <w:rsid w:val="00431672"/>
    <w:rsid w:val="00431FB2"/>
    <w:rsid w:val="004328C3"/>
    <w:rsid w:val="00432A40"/>
    <w:rsid w:val="0043397C"/>
    <w:rsid w:val="0043619D"/>
    <w:rsid w:val="00436E1E"/>
    <w:rsid w:val="00440587"/>
    <w:rsid w:val="00440E6D"/>
    <w:rsid w:val="00443A04"/>
    <w:rsid w:val="00451482"/>
    <w:rsid w:val="00451A40"/>
    <w:rsid w:val="004551D7"/>
    <w:rsid w:val="004557D3"/>
    <w:rsid w:val="00456425"/>
    <w:rsid w:val="00460457"/>
    <w:rsid w:val="00462389"/>
    <w:rsid w:val="004629FA"/>
    <w:rsid w:val="00463A4A"/>
    <w:rsid w:val="00463AC7"/>
    <w:rsid w:val="00464816"/>
    <w:rsid w:val="00467719"/>
    <w:rsid w:val="004678D9"/>
    <w:rsid w:val="00467F85"/>
    <w:rsid w:val="00471247"/>
    <w:rsid w:val="00471A75"/>
    <w:rsid w:val="004767B9"/>
    <w:rsid w:val="00481414"/>
    <w:rsid w:val="00485DA3"/>
    <w:rsid w:val="0048776C"/>
    <w:rsid w:val="004902EB"/>
    <w:rsid w:val="00490930"/>
    <w:rsid w:val="004913F8"/>
    <w:rsid w:val="00491508"/>
    <w:rsid w:val="00494375"/>
    <w:rsid w:val="00494691"/>
    <w:rsid w:val="0049630D"/>
    <w:rsid w:val="0049776D"/>
    <w:rsid w:val="004A3979"/>
    <w:rsid w:val="004A4333"/>
    <w:rsid w:val="004A7D17"/>
    <w:rsid w:val="004B4DFF"/>
    <w:rsid w:val="004B6368"/>
    <w:rsid w:val="004B6F9D"/>
    <w:rsid w:val="004B70DE"/>
    <w:rsid w:val="004C0905"/>
    <w:rsid w:val="004C0D4F"/>
    <w:rsid w:val="004C5A81"/>
    <w:rsid w:val="004C5C32"/>
    <w:rsid w:val="004C7A80"/>
    <w:rsid w:val="004D0323"/>
    <w:rsid w:val="004D220F"/>
    <w:rsid w:val="004D2591"/>
    <w:rsid w:val="004D3CCA"/>
    <w:rsid w:val="004D5794"/>
    <w:rsid w:val="004D604B"/>
    <w:rsid w:val="004D6BD2"/>
    <w:rsid w:val="004D7617"/>
    <w:rsid w:val="004D7BE3"/>
    <w:rsid w:val="004E17C1"/>
    <w:rsid w:val="004E29DC"/>
    <w:rsid w:val="004E3573"/>
    <w:rsid w:val="004E45A0"/>
    <w:rsid w:val="004E5BC1"/>
    <w:rsid w:val="004E5EB1"/>
    <w:rsid w:val="004E6EB2"/>
    <w:rsid w:val="004E7019"/>
    <w:rsid w:val="004F13F7"/>
    <w:rsid w:val="004F35AC"/>
    <w:rsid w:val="004F6470"/>
    <w:rsid w:val="004F6D1A"/>
    <w:rsid w:val="00500868"/>
    <w:rsid w:val="00501A95"/>
    <w:rsid w:val="005049C3"/>
    <w:rsid w:val="005049E4"/>
    <w:rsid w:val="00510A94"/>
    <w:rsid w:val="00512B9F"/>
    <w:rsid w:val="005215A4"/>
    <w:rsid w:val="005237B5"/>
    <w:rsid w:val="00530510"/>
    <w:rsid w:val="00532FC3"/>
    <w:rsid w:val="00533A49"/>
    <w:rsid w:val="00534445"/>
    <w:rsid w:val="00535A70"/>
    <w:rsid w:val="00536824"/>
    <w:rsid w:val="0054007F"/>
    <w:rsid w:val="00540B07"/>
    <w:rsid w:val="0054123D"/>
    <w:rsid w:val="005414B2"/>
    <w:rsid w:val="00541A8E"/>
    <w:rsid w:val="005432A0"/>
    <w:rsid w:val="00545FFA"/>
    <w:rsid w:val="0055012A"/>
    <w:rsid w:val="0055063F"/>
    <w:rsid w:val="0055488F"/>
    <w:rsid w:val="005649D1"/>
    <w:rsid w:val="005658CC"/>
    <w:rsid w:val="005727AA"/>
    <w:rsid w:val="00574994"/>
    <w:rsid w:val="0057556A"/>
    <w:rsid w:val="005806B9"/>
    <w:rsid w:val="00595175"/>
    <w:rsid w:val="005956BE"/>
    <w:rsid w:val="005A29A2"/>
    <w:rsid w:val="005A3AB0"/>
    <w:rsid w:val="005B243B"/>
    <w:rsid w:val="005B3CD8"/>
    <w:rsid w:val="005C2015"/>
    <w:rsid w:val="005C241B"/>
    <w:rsid w:val="005C6BCA"/>
    <w:rsid w:val="005C7777"/>
    <w:rsid w:val="005D0598"/>
    <w:rsid w:val="005D2056"/>
    <w:rsid w:val="005D21BD"/>
    <w:rsid w:val="005D28B0"/>
    <w:rsid w:val="005D4890"/>
    <w:rsid w:val="005D70C5"/>
    <w:rsid w:val="005E1156"/>
    <w:rsid w:val="005E619E"/>
    <w:rsid w:val="005E7AC7"/>
    <w:rsid w:val="005E7B3B"/>
    <w:rsid w:val="005F5EBA"/>
    <w:rsid w:val="005F64DE"/>
    <w:rsid w:val="005F7463"/>
    <w:rsid w:val="005F7596"/>
    <w:rsid w:val="005F75FD"/>
    <w:rsid w:val="006003EB"/>
    <w:rsid w:val="00601456"/>
    <w:rsid w:val="0060392A"/>
    <w:rsid w:val="006115DF"/>
    <w:rsid w:val="00612AAE"/>
    <w:rsid w:val="0061580B"/>
    <w:rsid w:val="00615C35"/>
    <w:rsid w:val="00617115"/>
    <w:rsid w:val="00623211"/>
    <w:rsid w:val="00623507"/>
    <w:rsid w:val="00624438"/>
    <w:rsid w:val="00625E18"/>
    <w:rsid w:val="006309D1"/>
    <w:rsid w:val="006321EE"/>
    <w:rsid w:val="00632B61"/>
    <w:rsid w:val="00633611"/>
    <w:rsid w:val="00635658"/>
    <w:rsid w:val="00637D17"/>
    <w:rsid w:val="006406E1"/>
    <w:rsid w:val="006407E2"/>
    <w:rsid w:val="00641413"/>
    <w:rsid w:val="00641F6E"/>
    <w:rsid w:val="00642E5D"/>
    <w:rsid w:val="00643093"/>
    <w:rsid w:val="00644F0B"/>
    <w:rsid w:val="006472B0"/>
    <w:rsid w:val="006508EC"/>
    <w:rsid w:val="00656BA8"/>
    <w:rsid w:val="00657433"/>
    <w:rsid w:val="00660A6F"/>
    <w:rsid w:val="00661C95"/>
    <w:rsid w:val="00664E1F"/>
    <w:rsid w:val="00665C73"/>
    <w:rsid w:val="00670466"/>
    <w:rsid w:val="00671723"/>
    <w:rsid w:val="006726AB"/>
    <w:rsid w:val="006740D0"/>
    <w:rsid w:val="00674141"/>
    <w:rsid w:val="006765DC"/>
    <w:rsid w:val="006812C1"/>
    <w:rsid w:val="00682373"/>
    <w:rsid w:val="00683945"/>
    <w:rsid w:val="0068416C"/>
    <w:rsid w:val="00684180"/>
    <w:rsid w:val="00685E07"/>
    <w:rsid w:val="0068699E"/>
    <w:rsid w:val="00690BFB"/>
    <w:rsid w:val="00695FB0"/>
    <w:rsid w:val="00696126"/>
    <w:rsid w:val="006A165F"/>
    <w:rsid w:val="006A53C8"/>
    <w:rsid w:val="006A5CB6"/>
    <w:rsid w:val="006B3194"/>
    <w:rsid w:val="006B3A73"/>
    <w:rsid w:val="006B3F38"/>
    <w:rsid w:val="006B7F34"/>
    <w:rsid w:val="006C46F3"/>
    <w:rsid w:val="006C5E53"/>
    <w:rsid w:val="006C6DBE"/>
    <w:rsid w:val="006D06A1"/>
    <w:rsid w:val="006D084E"/>
    <w:rsid w:val="006D4AEF"/>
    <w:rsid w:val="006D4E9B"/>
    <w:rsid w:val="006D705E"/>
    <w:rsid w:val="006D715E"/>
    <w:rsid w:val="006D7692"/>
    <w:rsid w:val="006E045F"/>
    <w:rsid w:val="006E5700"/>
    <w:rsid w:val="006F0925"/>
    <w:rsid w:val="006F3067"/>
    <w:rsid w:val="006F37ED"/>
    <w:rsid w:val="006F5DC4"/>
    <w:rsid w:val="006F6679"/>
    <w:rsid w:val="006F7021"/>
    <w:rsid w:val="006F71D2"/>
    <w:rsid w:val="007012E6"/>
    <w:rsid w:val="00701EE5"/>
    <w:rsid w:val="00702D7E"/>
    <w:rsid w:val="0070325F"/>
    <w:rsid w:val="00704880"/>
    <w:rsid w:val="00706221"/>
    <w:rsid w:val="00710383"/>
    <w:rsid w:val="00710AAB"/>
    <w:rsid w:val="00715641"/>
    <w:rsid w:val="007157E9"/>
    <w:rsid w:val="00716A06"/>
    <w:rsid w:val="00725455"/>
    <w:rsid w:val="00727F6A"/>
    <w:rsid w:val="0073238A"/>
    <w:rsid w:val="007329E8"/>
    <w:rsid w:val="007359C2"/>
    <w:rsid w:val="00736006"/>
    <w:rsid w:val="00736A32"/>
    <w:rsid w:val="007425D1"/>
    <w:rsid w:val="00743C7C"/>
    <w:rsid w:val="00744EF6"/>
    <w:rsid w:val="00747385"/>
    <w:rsid w:val="00747780"/>
    <w:rsid w:val="0075295E"/>
    <w:rsid w:val="007532F8"/>
    <w:rsid w:val="007540FB"/>
    <w:rsid w:val="007544A3"/>
    <w:rsid w:val="007550B1"/>
    <w:rsid w:val="0075652D"/>
    <w:rsid w:val="007565E1"/>
    <w:rsid w:val="007575CA"/>
    <w:rsid w:val="00761548"/>
    <w:rsid w:val="00761902"/>
    <w:rsid w:val="00767783"/>
    <w:rsid w:val="007714DB"/>
    <w:rsid w:val="00772A89"/>
    <w:rsid w:val="007733E8"/>
    <w:rsid w:val="007738A6"/>
    <w:rsid w:val="00774313"/>
    <w:rsid w:val="00776719"/>
    <w:rsid w:val="0079354C"/>
    <w:rsid w:val="00795011"/>
    <w:rsid w:val="00797C06"/>
    <w:rsid w:val="007A0FC2"/>
    <w:rsid w:val="007A21B4"/>
    <w:rsid w:val="007A2552"/>
    <w:rsid w:val="007A449B"/>
    <w:rsid w:val="007A5B50"/>
    <w:rsid w:val="007B47F6"/>
    <w:rsid w:val="007B7FE3"/>
    <w:rsid w:val="007C1224"/>
    <w:rsid w:val="007C1C68"/>
    <w:rsid w:val="007C2FD0"/>
    <w:rsid w:val="007C3280"/>
    <w:rsid w:val="007C64CA"/>
    <w:rsid w:val="007C6F99"/>
    <w:rsid w:val="007C73B4"/>
    <w:rsid w:val="007C7CE9"/>
    <w:rsid w:val="007E19CB"/>
    <w:rsid w:val="007F1278"/>
    <w:rsid w:val="007F331C"/>
    <w:rsid w:val="007F5965"/>
    <w:rsid w:val="007F64A4"/>
    <w:rsid w:val="0080286B"/>
    <w:rsid w:val="0080449B"/>
    <w:rsid w:val="00805B85"/>
    <w:rsid w:val="00807B21"/>
    <w:rsid w:val="00807D14"/>
    <w:rsid w:val="00807EA9"/>
    <w:rsid w:val="00813D9E"/>
    <w:rsid w:val="00814696"/>
    <w:rsid w:val="0081478D"/>
    <w:rsid w:val="00820F48"/>
    <w:rsid w:val="00830D2A"/>
    <w:rsid w:val="00830DAD"/>
    <w:rsid w:val="00831EBE"/>
    <w:rsid w:val="008364A6"/>
    <w:rsid w:val="008365B1"/>
    <w:rsid w:val="00837177"/>
    <w:rsid w:val="00840809"/>
    <w:rsid w:val="00840A85"/>
    <w:rsid w:val="00840AC7"/>
    <w:rsid w:val="00841653"/>
    <w:rsid w:val="00841E24"/>
    <w:rsid w:val="00846CCD"/>
    <w:rsid w:val="008474E4"/>
    <w:rsid w:val="008515F1"/>
    <w:rsid w:val="00851A1D"/>
    <w:rsid w:val="00851AB5"/>
    <w:rsid w:val="00853398"/>
    <w:rsid w:val="00855F4E"/>
    <w:rsid w:val="00857B69"/>
    <w:rsid w:val="008609E1"/>
    <w:rsid w:val="0086142B"/>
    <w:rsid w:val="00863A65"/>
    <w:rsid w:val="00864DCF"/>
    <w:rsid w:val="00865E6E"/>
    <w:rsid w:val="0086657D"/>
    <w:rsid w:val="00870BA9"/>
    <w:rsid w:val="00873A31"/>
    <w:rsid w:val="00875E43"/>
    <w:rsid w:val="00876FFC"/>
    <w:rsid w:val="008807E2"/>
    <w:rsid w:val="0088152A"/>
    <w:rsid w:val="008816F4"/>
    <w:rsid w:val="00882315"/>
    <w:rsid w:val="00882A28"/>
    <w:rsid w:val="008851BA"/>
    <w:rsid w:val="00885287"/>
    <w:rsid w:val="00885E3B"/>
    <w:rsid w:val="00890453"/>
    <w:rsid w:val="00891A9E"/>
    <w:rsid w:val="00893A43"/>
    <w:rsid w:val="00894AD5"/>
    <w:rsid w:val="008A16D4"/>
    <w:rsid w:val="008A32A5"/>
    <w:rsid w:val="008A46F9"/>
    <w:rsid w:val="008B0222"/>
    <w:rsid w:val="008B06A5"/>
    <w:rsid w:val="008B3EDB"/>
    <w:rsid w:val="008B4450"/>
    <w:rsid w:val="008B75AF"/>
    <w:rsid w:val="008C0C40"/>
    <w:rsid w:val="008C127F"/>
    <w:rsid w:val="008C1D6F"/>
    <w:rsid w:val="008C2777"/>
    <w:rsid w:val="008C28EA"/>
    <w:rsid w:val="008C47C1"/>
    <w:rsid w:val="008C4E72"/>
    <w:rsid w:val="008C664F"/>
    <w:rsid w:val="008D3F1E"/>
    <w:rsid w:val="008D7466"/>
    <w:rsid w:val="008E2DA1"/>
    <w:rsid w:val="008E3B0A"/>
    <w:rsid w:val="008E68E7"/>
    <w:rsid w:val="008F0785"/>
    <w:rsid w:val="008F2061"/>
    <w:rsid w:val="008F4977"/>
    <w:rsid w:val="008F7F21"/>
    <w:rsid w:val="00901F7D"/>
    <w:rsid w:val="009020B3"/>
    <w:rsid w:val="009053BC"/>
    <w:rsid w:val="009055E9"/>
    <w:rsid w:val="009057E9"/>
    <w:rsid w:val="00905877"/>
    <w:rsid w:val="009067BF"/>
    <w:rsid w:val="00907996"/>
    <w:rsid w:val="00907C06"/>
    <w:rsid w:val="009101EE"/>
    <w:rsid w:val="0091157B"/>
    <w:rsid w:val="00911F4B"/>
    <w:rsid w:val="00913119"/>
    <w:rsid w:val="009174D5"/>
    <w:rsid w:val="0092672C"/>
    <w:rsid w:val="009323A9"/>
    <w:rsid w:val="0093360C"/>
    <w:rsid w:val="00933A5F"/>
    <w:rsid w:val="0093463F"/>
    <w:rsid w:val="0093616E"/>
    <w:rsid w:val="009370FD"/>
    <w:rsid w:val="009375E8"/>
    <w:rsid w:val="00942CBD"/>
    <w:rsid w:val="00943067"/>
    <w:rsid w:val="009455FB"/>
    <w:rsid w:val="009516E5"/>
    <w:rsid w:val="00952713"/>
    <w:rsid w:val="00954269"/>
    <w:rsid w:val="009563C4"/>
    <w:rsid w:val="00956C8E"/>
    <w:rsid w:val="00956FC4"/>
    <w:rsid w:val="00960E88"/>
    <w:rsid w:val="0096242A"/>
    <w:rsid w:val="0096296A"/>
    <w:rsid w:val="00963648"/>
    <w:rsid w:val="00963C2E"/>
    <w:rsid w:val="00965D9B"/>
    <w:rsid w:val="009710C7"/>
    <w:rsid w:val="00974987"/>
    <w:rsid w:val="00980093"/>
    <w:rsid w:val="00980E4B"/>
    <w:rsid w:val="00982F88"/>
    <w:rsid w:val="00985F7D"/>
    <w:rsid w:val="00986BE4"/>
    <w:rsid w:val="00992161"/>
    <w:rsid w:val="009926C9"/>
    <w:rsid w:val="0099504A"/>
    <w:rsid w:val="00995C8D"/>
    <w:rsid w:val="00995FAA"/>
    <w:rsid w:val="00997283"/>
    <w:rsid w:val="009A0682"/>
    <w:rsid w:val="009B1842"/>
    <w:rsid w:val="009B3F95"/>
    <w:rsid w:val="009B4ECF"/>
    <w:rsid w:val="009B57FE"/>
    <w:rsid w:val="009C092B"/>
    <w:rsid w:val="009C28DE"/>
    <w:rsid w:val="009C4EDA"/>
    <w:rsid w:val="009C5B68"/>
    <w:rsid w:val="009D2BD2"/>
    <w:rsid w:val="009D5251"/>
    <w:rsid w:val="009D6E73"/>
    <w:rsid w:val="009E0499"/>
    <w:rsid w:val="009E095A"/>
    <w:rsid w:val="009E1CEF"/>
    <w:rsid w:val="009E22FF"/>
    <w:rsid w:val="009E32DD"/>
    <w:rsid w:val="009E49D1"/>
    <w:rsid w:val="009E4CE6"/>
    <w:rsid w:val="009E69E5"/>
    <w:rsid w:val="009F1C29"/>
    <w:rsid w:val="009F217A"/>
    <w:rsid w:val="009F54BF"/>
    <w:rsid w:val="009F7A54"/>
    <w:rsid w:val="00A0117B"/>
    <w:rsid w:val="00A02473"/>
    <w:rsid w:val="00A02CEB"/>
    <w:rsid w:val="00A0428C"/>
    <w:rsid w:val="00A10AB6"/>
    <w:rsid w:val="00A133FE"/>
    <w:rsid w:val="00A14619"/>
    <w:rsid w:val="00A154DF"/>
    <w:rsid w:val="00A15E64"/>
    <w:rsid w:val="00A16D69"/>
    <w:rsid w:val="00A23D42"/>
    <w:rsid w:val="00A26886"/>
    <w:rsid w:val="00A30221"/>
    <w:rsid w:val="00A350F2"/>
    <w:rsid w:val="00A40EF8"/>
    <w:rsid w:val="00A40F20"/>
    <w:rsid w:val="00A412F5"/>
    <w:rsid w:val="00A456C1"/>
    <w:rsid w:val="00A50681"/>
    <w:rsid w:val="00A548C7"/>
    <w:rsid w:val="00A5683D"/>
    <w:rsid w:val="00A60C37"/>
    <w:rsid w:val="00A60D92"/>
    <w:rsid w:val="00A66413"/>
    <w:rsid w:val="00A705C1"/>
    <w:rsid w:val="00A74786"/>
    <w:rsid w:val="00A76439"/>
    <w:rsid w:val="00A76714"/>
    <w:rsid w:val="00A803E9"/>
    <w:rsid w:val="00A816A9"/>
    <w:rsid w:val="00A81B1F"/>
    <w:rsid w:val="00A85665"/>
    <w:rsid w:val="00A97D2E"/>
    <w:rsid w:val="00AA1C81"/>
    <w:rsid w:val="00AA4072"/>
    <w:rsid w:val="00AA7EEC"/>
    <w:rsid w:val="00AB3783"/>
    <w:rsid w:val="00AB75AB"/>
    <w:rsid w:val="00AC0232"/>
    <w:rsid w:val="00AC0675"/>
    <w:rsid w:val="00AC29D5"/>
    <w:rsid w:val="00AC307C"/>
    <w:rsid w:val="00AD154B"/>
    <w:rsid w:val="00AD3BEA"/>
    <w:rsid w:val="00AD6141"/>
    <w:rsid w:val="00AE2E2B"/>
    <w:rsid w:val="00AE4F2C"/>
    <w:rsid w:val="00AF0775"/>
    <w:rsid w:val="00AF1744"/>
    <w:rsid w:val="00AF711D"/>
    <w:rsid w:val="00B011D4"/>
    <w:rsid w:val="00B024F8"/>
    <w:rsid w:val="00B02EF1"/>
    <w:rsid w:val="00B06F48"/>
    <w:rsid w:val="00B1046B"/>
    <w:rsid w:val="00B12D04"/>
    <w:rsid w:val="00B16A64"/>
    <w:rsid w:val="00B2187D"/>
    <w:rsid w:val="00B2334C"/>
    <w:rsid w:val="00B25F4C"/>
    <w:rsid w:val="00B31561"/>
    <w:rsid w:val="00B31E9A"/>
    <w:rsid w:val="00B4287A"/>
    <w:rsid w:val="00B43EF6"/>
    <w:rsid w:val="00B46157"/>
    <w:rsid w:val="00B47D64"/>
    <w:rsid w:val="00B5047C"/>
    <w:rsid w:val="00B55E0D"/>
    <w:rsid w:val="00B56E68"/>
    <w:rsid w:val="00B624F6"/>
    <w:rsid w:val="00B6604F"/>
    <w:rsid w:val="00B677A0"/>
    <w:rsid w:val="00B7204B"/>
    <w:rsid w:val="00B74B61"/>
    <w:rsid w:val="00B76D1C"/>
    <w:rsid w:val="00B774A3"/>
    <w:rsid w:val="00B825F6"/>
    <w:rsid w:val="00B83553"/>
    <w:rsid w:val="00B835B2"/>
    <w:rsid w:val="00B83C6E"/>
    <w:rsid w:val="00B86E42"/>
    <w:rsid w:val="00B90AAF"/>
    <w:rsid w:val="00B90ACF"/>
    <w:rsid w:val="00B94E7D"/>
    <w:rsid w:val="00B95049"/>
    <w:rsid w:val="00B96A32"/>
    <w:rsid w:val="00B975F9"/>
    <w:rsid w:val="00BA0F4B"/>
    <w:rsid w:val="00BA1703"/>
    <w:rsid w:val="00BA1FEC"/>
    <w:rsid w:val="00BA35C0"/>
    <w:rsid w:val="00BA4F97"/>
    <w:rsid w:val="00BA7CD5"/>
    <w:rsid w:val="00BB0473"/>
    <w:rsid w:val="00BB368D"/>
    <w:rsid w:val="00BB6BB6"/>
    <w:rsid w:val="00BC0BA8"/>
    <w:rsid w:val="00BC411E"/>
    <w:rsid w:val="00BC55BE"/>
    <w:rsid w:val="00BC5D33"/>
    <w:rsid w:val="00BC6C57"/>
    <w:rsid w:val="00BC74BD"/>
    <w:rsid w:val="00BC7E88"/>
    <w:rsid w:val="00BD4E7D"/>
    <w:rsid w:val="00BD685D"/>
    <w:rsid w:val="00BD6972"/>
    <w:rsid w:val="00BE126B"/>
    <w:rsid w:val="00BE2C9D"/>
    <w:rsid w:val="00BE337D"/>
    <w:rsid w:val="00BE3767"/>
    <w:rsid w:val="00BE3BA4"/>
    <w:rsid w:val="00BE4A0B"/>
    <w:rsid w:val="00BE4C5D"/>
    <w:rsid w:val="00BE4D38"/>
    <w:rsid w:val="00BE7033"/>
    <w:rsid w:val="00BE72AF"/>
    <w:rsid w:val="00BF01D8"/>
    <w:rsid w:val="00BF023B"/>
    <w:rsid w:val="00BF3136"/>
    <w:rsid w:val="00BF4020"/>
    <w:rsid w:val="00BF6ED2"/>
    <w:rsid w:val="00C00E47"/>
    <w:rsid w:val="00C04290"/>
    <w:rsid w:val="00C05B14"/>
    <w:rsid w:val="00C10138"/>
    <w:rsid w:val="00C13C22"/>
    <w:rsid w:val="00C22807"/>
    <w:rsid w:val="00C24F12"/>
    <w:rsid w:val="00C2689E"/>
    <w:rsid w:val="00C308C9"/>
    <w:rsid w:val="00C37461"/>
    <w:rsid w:val="00C454DF"/>
    <w:rsid w:val="00C474EB"/>
    <w:rsid w:val="00C554F2"/>
    <w:rsid w:val="00C55A8B"/>
    <w:rsid w:val="00C5774B"/>
    <w:rsid w:val="00C621BA"/>
    <w:rsid w:val="00C676AF"/>
    <w:rsid w:val="00C72DA0"/>
    <w:rsid w:val="00C74CDA"/>
    <w:rsid w:val="00C81597"/>
    <w:rsid w:val="00C824F9"/>
    <w:rsid w:val="00C833D8"/>
    <w:rsid w:val="00C83461"/>
    <w:rsid w:val="00C85D95"/>
    <w:rsid w:val="00C87238"/>
    <w:rsid w:val="00C90588"/>
    <w:rsid w:val="00C90A9B"/>
    <w:rsid w:val="00C91682"/>
    <w:rsid w:val="00C92A25"/>
    <w:rsid w:val="00C937A6"/>
    <w:rsid w:val="00CA342A"/>
    <w:rsid w:val="00CA39C5"/>
    <w:rsid w:val="00CA7CFD"/>
    <w:rsid w:val="00CB1876"/>
    <w:rsid w:val="00CB7A1C"/>
    <w:rsid w:val="00CC1D6A"/>
    <w:rsid w:val="00CC27FC"/>
    <w:rsid w:val="00CC3412"/>
    <w:rsid w:val="00CC3A9C"/>
    <w:rsid w:val="00CC413A"/>
    <w:rsid w:val="00CC5420"/>
    <w:rsid w:val="00CD1D4D"/>
    <w:rsid w:val="00CD34C6"/>
    <w:rsid w:val="00CD3BB7"/>
    <w:rsid w:val="00CD536E"/>
    <w:rsid w:val="00CD6974"/>
    <w:rsid w:val="00CE0A91"/>
    <w:rsid w:val="00CE0E23"/>
    <w:rsid w:val="00CE26D7"/>
    <w:rsid w:val="00CE3077"/>
    <w:rsid w:val="00CE5B43"/>
    <w:rsid w:val="00CF1736"/>
    <w:rsid w:val="00CF4BD1"/>
    <w:rsid w:val="00CF6D54"/>
    <w:rsid w:val="00CF77A1"/>
    <w:rsid w:val="00D01B92"/>
    <w:rsid w:val="00D02FA6"/>
    <w:rsid w:val="00D03A99"/>
    <w:rsid w:val="00D04A7F"/>
    <w:rsid w:val="00D04DC7"/>
    <w:rsid w:val="00D10574"/>
    <w:rsid w:val="00D10661"/>
    <w:rsid w:val="00D106B5"/>
    <w:rsid w:val="00D140DB"/>
    <w:rsid w:val="00D2120B"/>
    <w:rsid w:val="00D21F2D"/>
    <w:rsid w:val="00D23622"/>
    <w:rsid w:val="00D23DE3"/>
    <w:rsid w:val="00D26BE2"/>
    <w:rsid w:val="00D30274"/>
    <w:rsid w:val="00D303B5"/>
    <w:rsid w:val="00D309CB"/>
    <w:rsid w:val="00D31636"/>
    <w:rsid w:val="00D31744"/>
    <w:rsid w:val="00D33968"/>
    <w:rsid w:val="00D34541"/>
    <w:rsid w:val="00D37512"/>
    <w:rsid w:val="00D42A87"/>
    <w:rsid w:val="00D5288C"/>
    <w:rsid w:val="00D52C15"/>
    <w:rsid w:val="00D5500A"/>
    <w:rsid w:val="00D60745"/>
    <w:rsid w:val="00D61952"/>
    <w:rsid w:val="00D61965"/>
    <w:rsid w:val="00D62D00"/>
    <w:rsid w:val="00D65DA7"/>
    <w:rsid w:val="00D67736"/>
    <w:rsid w:val="00D727C6"/>
    <w:rsid w:val="00D74B38"/>
    <w:rsid w:val="00D8289A"/>
    <w:rsid w:val="00D83F23"/>
    <w:rsid w:val="00D83FDE"/>
    <w:rsid w:val="00D84749"/>
    <w:rsid w:val="00D8504B"/>
    <w:rsid w:val="00D90F63"/>
    <w:rsid w:val="00D93C04"/>
    <w:rsid w:val="00D95ECE"/>
    <w:rsid w:val="00DA0CC9"/>
    <w:rsid w:val="00DA30B4"/>
    <w:rsid w:val="00DA449E"/>
    <w:rsid w:val="00DA4F19"/>
    <w:rsid w:val="00DA50FA"/>
    <w:rsid w:val="00DA5AF8"/>
    <w:rsid w:val="00DA5B66"/>
    <w:rsid w:val="00DA7E72"/>
    <w:rsid w:val="00DB271E"/>
    <w:rsid w:val="00DB4D45"/>
    <w:rsid w:val="00DB748E"/>
    <w:rsid w:val="00DB7C54"/>
    <w:rsid w:val="00DC1C2C"/>
    <w:rsid w:val="00DC4567"/>
    <w:rsid w:val="00DD06F7"/>
    <w:rsid w:val="00DD3B32"/>
    <w:rsid w:val="00DD5A57"/>
    <w:rsid w:val="00DD5E34"/>
    <w:rsid w:val="00DE1065"/>
    <w:rsid w:val="00DF1B5E"/>
    <w:rsid w:val="00DF388E"/>
    <w:rsid w:val="00DF57B5"/>
    <w:rsid w:val="00DF6721"/>
    <w:rsid w:val="00E004C6"/>
    <w:rsid w:val="00E010CD"/>
    <w:rsid w:val="00E01BA8"/>
    <w:rsid w:val="00E04F47"/>
    <w:rsid w:val="00E07120"/>
    <w:rsid w:val="00E15F2B"/>
    <w:rsid w:val="00E164E3"/>
    <w:rsid w:val="00E17A57"/>
    <w:rsid w:val="00E2363F"/>
    <w:rsid w:val="00E23BD7"/>
    <w:rsid w:val="00E24068"/>
    <w:rsid w:val="00E24312"/>
    <w:rsid w:val="00E25328"/>
    <w:rsid w:val="00E312AE"/>
    <w:rsid w:val="00E3223F"/>
    <w:rsid w:val="00E3523E"/>
    <w:rsid w:val="00E404F3"/>
    <w:rsid w:val="00E40C51"/>
    <w:rsid w:val="00E4124F"/>
    <w:rsid w:val="00E4131D"/>
    <w:rsid w:val="00E46DD1"/>
    <w:rsid w:val="00E540CC"/>
    <w:rsid w:val="00E563E7"/>
    <w:rsid w:val="00E57321"/>
    <w:rsid w:val="00E64B9B"/>
    <w:rsid w:val="00E65C4C"/>
    <w:rsid w:val="00E66BB3"/>
    <w:rsid w:val="00E67B2A"/>
    <w:rsid w:val="00E7072D"/>
    <w:rsid w:val="00E72B4C"/>
    <w:rsid w:val="00E75BF3"/>
    <w:rsid w:val="00E772F0"/>
    <w:rsid w:val="00E87BF1"/>
    <w:rsid w:val="00E87C21"/>
    <w:rsid w:val="00E87D48"/>
    <w:rsid w:val="00E904EC"/>
    <w:rsid w:val="00EA14FB"/>
    <w:rsid w:val="00EA39A8"/>
    <w:rsid w:val="00EA42D8"/>
    <w:rsid w:val="00EA761D"/>
    <w:rsid w:val="00EB0000"/>
    <w:rsid w:val="00EB01BD"/>
    <w:rsid w:val="00EB021D"/>
    <w:rsid w:val="00EB35A3"/>
    <w:rsid w:val="00EB49FF"/>
    <w:rsid w:val="00EB4DA5"/>
    <w:rsid w:val="00EB5B94"/>
    <w:rsid w:val="00EC184C"/>
    <w:rsid w:val="00EC208C"/>
    <w:rsid w:val="00EC31A8"/>
    <w:rsid w:val="00EC5EF2"/>
    <w:rsid w:val="00EC6F55"/>
    <w:rsid w:val="00ED0B8E"/>
    <w:rsid w:val="00ED2A58"/>
    <w:rsid w:val="00EE1145"/>
    <w:rsid w:val="00EE1A36"/>
    <w:rsid w:val="00EE7EB4"/>
    <w:rsid w:val="00EF098C"/>
    <w:rsid w:val="00EF4032"/>
    <w:rsid w:val="00EF40F4"/>
    <w:rsid w:val="00EF53F5"/>
    <w:rsid w:val="00EF5B4F"/>
    <w:rsid w:val="00F06914"/>
    <w:rsid w:val="00F11E66"/>
    <w:rsid w:val="00F127AD"/>
    <w:rsid w:val="00F1300A"/>
    <w:rsid w:val="00F13BDB"/>
    <w:rsid w:val="00F14E21"/>
    <w:rsid w:val="00F155AD"/>
    <w:rsid w:val="00F231DC"/>
    <w:rsid w:val="00F303C0"/>
    <w:rsid w:val="00F30795"/>
    <w:rsid w:val="00F51F7B"/>
    <w:rsid w:val="00F547E9"/>
    <w:rsid w:val="00F54A4B"/>
    <w:rsid w:val="00F56E20"/>
    <w:rsid w:val="00F57280"/>
    <w:rsid w:val="00F62D8D"/>
    <w:rsid w:val="00F71B36"/>
    <w:rsid w:val="00F72A96"/>
    <w:rsid w:val="00F75C9D"/>
    <w:rsid w:val="00F83712"/>
    <w:rsid w:val="00F83D29"/>
    <w:rsid w:val="00F9063C"/>
    <w:rsid w:val="00F93162"/>
    <w:rsid w:val="00F95F04"/>
    <w:rsid w:val="00F97692"/>
    <w:rsid w:val="00FA3961"/>
    <w:rsid w:val="00FA4E61"/>
    <w:rsid w:val="00FA509A"/>
    <w:rsid w:val="00FA53DC"/>
    <w:rsid w:val="00FA7731"/>
    <w:rsid w:val="00FB1DBF"/>
    <w:rsid w:val="00FC08C0"/>
    <w:rsid w:val="00FC0A09"/>
    <w:rsid w:val="00FC2FC4"/>
    <w:rsid w:val="00FC4FFE"/>
    <w:rsid w:val="00FC539D"/>
    <w:rsid w:val="00FD6B78"/>
    <w:rsid w:val="00FE0B1F"/>
    <w:rsid w:val="00FE2A9C"/>
    <w:rsid w:val="00FE7AEA"/>
    <w:rsid w:val="00FF19E0"/>
    <w:rsid w:val="00FF3926"/>
    <w:rsid w:val="00FF6AED"/>
    <w:rsid w:val="01175BDD"/>
    <w:rsid w:val="02493B8E"/>
    <w:rsid w:val="089755E7"/>
    <w:rsid w:val="1B506624"/>
    <w:rsid w:val="20D6728E"/>
    <w:rsid w:val="30001BBE"/>
    <w:rsid w:val="32A0267D"/>
    <w:rsid w:val="3315665A"/>
    <w:rsid w:val="42CF2A48"/>
    <w:rsid w:val="4FD9132F"/>
    <w:rsid w:val="4FDF1B92"/>
    <w:rsid w:val="60670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spacing w:before="260" w:after="260" w:line="416" w:lineRule="auto"/>
      <w:outlineLvl w:val="2"/>
    </w:pPr>
    <w:rPr>
      <w:b/>
      <w:bCs/>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6"/>
    <w:qFormat/>
    <w:uiPriority w:val="0"/>
    <w:pPr>
      <w:keepNext/>
      <w:keepLines/>
      <w:spacing w:before="280" w:after="290" w:line="372" w:lineRule="auto"/>
      <w:outlineLvl w:val="4"/>
    </w:pPr>
    <w:rPr>
      <w:b/>
      <w:sz w:val="28"/>
      <w:szCs w:val="20"/>
    </w:rPr>
  </w:style>
  <w:style w:type="paragraph" w:styleId="7">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69"/>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2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qFormat/>
    <w:uiPriority w:val="0"/>
    <w:rPr>
      <w:rFonts w:ascii="宋体"/>
      <w:sz w:val="24"/>
      <w:szCs w:val="20"/>
    </w:rPr>
  </w:style>
  <w:style w:type="paragraph" w:styleId="17">
    <w:name w:val="Body Text"/>
    <w:basedOn w:val="1"/>
    <w:link w:val="122"/>
    <w:qFormat/>
    <w:uiPriority w:val="0"/>
    <w:pPr>
      <w:spacing w:after="120"/>
    </w:pPr>
  </w:style>
  <w:style w:type="paragraph" w:styleId="18">
    <w:name w:val="Body Text Indent"/>
    <w:basedOn w:val="1"/>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uiPriority w:val="0"/>
    <w:pPr>
      <w:ind w:left="1680" w:leftChars="800"/>
    </w:pPr>
    <w:rPr>
      <w:szCs w:val="20"/>
    </w:rPr>
  </w:style>
  <w:style w:type="paragraph" w:styleId="21">
    <w:name w:val="toc 3"/>
    <w:basedOn w:val="1"/>
    <w:next w:val="1"/>
    <w:uiPriority w:val="0"/>
    <w:pPr>
      <w:ind w:left="840" w:leftChars="400"/>
    </w:pPr>
    <w:rPr>
      <w:szCs w:val="20"/>
    </w:rPr>
  </w:style>
  <w:style w:type="paragraph" w:styleId="22">
    <w:name w:val="Plain Text"/>
    <w:basedOn w:val="1"/>
    <w:link w:val="63"/>
    <w:uiPriority w:val="0"/>
    <w:rPr>
      <w:rFonts w:ascii="宋体" w:hAnsi="Courier New"/>
      <w:szCs w:val="20"/>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121"/>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5"/>
    <w:qFormat/>
    <w:uiPriority w:val="0"/>
    <w:rPr>
      <w:sz w:val="18"/>
      <w:szCs w:val="18"/>
    </w:rPr>
  </w:style>
  <w:style w:type="paragraph" w:styleId="27">
    <w:name w:val="footer"/>
    <w:basedOn w:val="1"/>
    <w:link w:val="62"/>
    <w:qFormat/>
    <w:uiPriority w:val="0"/>
    <w:pPr>
      <w:tabs>
        <w:tab w:val="center" w:pos="4153"/>
        <w:tab w:val="right" w:pos="8306"/>
      </w:tabs>
      <w:snapToGrid w:val="0"/>
      <w:jc w:val="left"/>
    </w:pPr>
    <w:rPr>
      <w:sz w:val="18"/>
      <w:szCs w:val="18"/>
    </w:rPr>
  </w:style>
  <w:style w:type="paragraph" w:styleId="28">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0"/>
    <w:pPr>
      <w:tabs>
        <w:tab w:val="right" w:leader="dot" w:pos="8296"/>
      </w:tabs>
      <w:spacing w:line="440" w:lineRule="exact"/>
    </w:pPr>
    <w:rPr>
      <w:szCs w:val="20"/>
    </w:rPr>
  </w:style>
  <w:style w:type="paragraph" w:styleId="30">
    <w:name w:val="toc 4"/>
    <w:basedOn w:val="1"/>
    <w:next w:val="1"/>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uiPriority w:val="0"/>
    <w:pPr>
      <w:ind w:left="420" w:leftChars="200"/>
    </w:pPr>
    <w:rPr>
      <w:szCs w:val="20"/>
    </w:rPr>
  </w:style>
  <w:style w:type="paragraph" w:styleId="35">
    <w:name w:val="toc 9"/>
    <w:basedOn w:val="1"/>
    <w:next w:val="1"/>
    <w:qFormat/>
    <w:uiPriority w:val="0"/>
    <w:pPr>
      <w:ind w:left="3360" w:leftChars="1600"/>
    </w:pPr>
    <w:rPr>
      <w:rFonts w:ascii="Calibri" w:hAnsi="Calibri"/>
      <w:szCs w:val="22"/>
    </w:rPr>
  </w:style>
  <w:style w:type="paragraph" w:styleId="36">
    <w:name w:val="Body Text 2"/>
    <w:basedOn w:val="1"/>
    <w:link w:val="84"/>
    <w:uiPriority w:val="0"/>
    <w:pPr>
      <w:jc w:val="left"/>
    </w:pPr>
    <w:rPr>
      <w:rFonts w:ascii="宋体" w:hAnsi="宋体"/>
      <w:color w:val="000000"/>
      <w:kern w:val="0"/>
      <w:sz w:val="18"/>
      <w:szCs w:val="18"/>
    </w:rPr>
  </w:style>
  <w:style w:type="paragraph" w:styleId="37">
    <w:name w:val="List Continue 2"/>
    <w:basedOn w:val="1"/>
    <w:qFormat/>
    <w:uiPriority w:val="0"/>
    <w:pPr>
      <w:spacing w:after="120"/>
      <w:ind w:left="840" w:leftChars="400"/>
    </w:pPr>
    <w:rPr>
      <w:szCs w:val="20"/>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6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88"/>
    <w:qFormat/>
    <w:uiPriority w:val="0"/>
    <w:rPr>
      <w:b/>
      <w:bCs/>
    </w:rPr>
  </w:style>
  <w:style w:type="paragraph" w:styleId="42">
    <w:name w:val="Body Text First Indent"/>
    <w:basedOn w:val="1"/>
    <w:next w:val="25"/>
    <w:qFormat/>
    <w:uiPriority w:val="0"/>
    <w:pPr>
      <w:ind w:firstLine="420" w:firstLineChars="100"/>
    </w:pPr>
    <w:rPr>
      <w:rFonts w:ascii="Times New Roman" w:hAnsi="Times New Roman"/>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0"/>
    <w:rPr>
      <w:color w:val="0000FF"/>
      <w:u w:val="single"/>
    </w:rPr>
  </w:style>
  <w:style w:type="character" w:styleId="51">
    <w:name w:val="annotation reference"/>
    <w:basedOn w:val="45"/>
    <w:qFormat/>
    <w:uiPriority w:val="0"/>
    <w:rPr>
      <w:sz w:val="21"/>
      <w:szCs w:val="21"/>
    </w:rPr>
  </w:style>
  <w:style w:type="character" w:customStyle="1" w:styleId="52">
    <w:name w:val="标题 1 Char"/>
    <w:link w:val="2"/>
    <w:qFormat/>
    <w:uiPriority w:val="0"/>
    <w:rPr>
      <w:rFonts w:eastAsia="宋体"/>
      <w:b/>
      <w:bCs/>
      <w:kern w:val="44"/>
      <w:sz w:val="44"/>
      <w:szCs w:val="44"/>
      <w:lang w:val="en-US" w:eastAsia="zh-CN" w:bidi="ar-SA"/>
    </w:rPr>
  </w:style>
  <w:style w:type="character" w:customStyle="1" w:styleId="53">
    <w:name w:val="标题 2 Char"/>
    <w:link w:val="3"/>
    <w:qFormat/>
    <w:uiPriority w:val="0"/>
    <w:rPr>
      <w:rFonts w:ascii="Arial" w:hAnsi="Arial" w:eastAsia="黑体"/>
      <w:b/>
      <w:bCs/>
      <w:kern w:val="2"/>
      <w:sz w:val="32"/>
      <w:szCs w:val="32"/>
      <w:lang w:val="en-US" w:eastAsia="zh-CN" w:bidi="ar-SA"/>
    </w:rPr>
  </w:style>
  <w:style w:type="character" w:customStyle="1" w:styleId="54">
    <w:name w:val="标题 3 Char"/>
    <w:link w:val="4"/>
    <w:qFormat/>
    <w:uiPriority w:val="0"/>
    <w:rPr>
      <w:rFonts w:eastAsia="宋体"/>
      <w:b/>
      <w:bCs/>
      <w:kern w:val="2"/>
      <w:sz w:val="32"/>
      <w:szCs w:val="32"/>
      <w:lang w:val="en-US" w:eastAsia="zh-CN" w:bidi="ar-SA"/>
    </w:rPr>
  </w:style>
  <w:style w:type="character" w:customStyle="1" w:styleId="55">
    <w:name w:val="标题 4 Char"/>
    <w:link w:val="5"/>
    <w:qFormat/>
    <w:uiPriority w:val="0"/>
    <w:rPr>
      <w:rFonts w:ascii="Arial" w:hAnsi="Arial" w:eastAsia="黑体"/>
      <w:b/>
      <w:bCs/>
      <w:kern w:val="2"/>
      <w:sz w:val="28"/>
      <w:szCs w:val="28"/>
      <w:lang w:val="en-US" w:eastAsia="zh-CN" w:bidi="ar-SA"/>
    </w:rPr>
  </w:style>
  <w:style w:type="character" w:customStyle="1" w:styleId="56">
    <w:name w:val="标题 5 Char"/>
    <w:link w:val="6"/>
    <w:qFormat/>
    <w:uiPriority w:val="0"/>
    <w:rPr>
      <w:rFonts w:eastAsia="宋体"/>
      <w:b/>
      <w:kern w:val="2"/>
      <w:sz w:val="28"/>
      <w:lang w:val="en-US" w:eastAsia="zh-CN" w:bidi="ar-SA"/>
    </w:rPr>
  </w:style>
  <w:style w:type="character" w:customStyle="1" w:styleId="57">
    <w:name w:val="标题 6 Char"/>
    <w:link w:val="7"/>
    <w:qFormat/>
    <w:uiPriority w:val="0"/>
    <w:rPr>
      <w:rFonts w:ascii="Arial" w:hAnsi="Arial" w:eastAsia="黑体"/>
      <w:b/>
      <w:bCs/>
      <w:sz w:val="24"/>
      <w:szCs w:val="24"/>
      <w:lang w:val="en-US" w:eastAsia="zh-CN" w:bidi="ar-SA"/>
    </w:rPr>
  </w:style>
  <w:style w:type="character" w:customStyle="1" w:styleId="58">
    <w:name w:val="标题 7 Char"/>
    <w:link w:val="8"/>
    <w:qFormat/>
    <w:uiPriority w:val="0"/>
    <w:rPr>
      <w:rFonts w:eastAsia="宋体"/>
      <w:b/>
      <w:bCs/>
      <w:sz w:val="24"/>
      <w:szCs w:val="24"/>
      <w:lang w:val="en-US" w:eastAsia="zh-CN" w:bidi="ar-SA"/>
    </w:rPr>
  </w:style>
  <w:style w:type="character" w:customStyle="1" w:styleId="59">
    <w:name w:val="标题 8 Char"/>
    <w:link w:val="9"/>
    <w:qFormat/>
    <w:uiPriority w:val="0"/>
    <w:rPr>
      <w:rFonts w:ascii="Arial" w:hAnsi="Arial" w:eastAsia="黑体"/>
      <w:sz w:val="24"/>
      <w:szCs w:val="24"/>
      <w:lang w:val="en-US" w:eastAsia="zh-CN" w:bidi="ar-SA"/>
    </w:rPr>
  </w:style>
  <w:style w:type="character" w:customStyle="1" w:styleId="60">
    <w:name w:val="标题 9 Char"/>
    <w:link w:val="10"/>
    <w:qFormat/>
    <w:uiPriority w:val="0"/>
    <w:rPr>
      <w:rFonts w:ascii="Arial" w:hAnsi="Arial" w:eastAsia="黑体"/>
      <w:sz w:val="21"/>
      <w:szCs w:val="21"/>
      <w:lang w:val="en-US" w:eastAsia="zh-CN" w:bidi="ar-SA"/>
    </w:rPr>
  </w:style>
  <w:style w:type="character" w:customStyle="1" w:styleId="61">
    <w:name w:val="页眉 Char"/>
    <w:link w:val="28"/>
    <w:qFormat/>
    <w:uiPriority w:val="0"/>
    <w:rPr>
      <w:rFonts w:eastAsia="宋体"/>
      <w:kern w:val="2"/>
      <w:sz w:val="18"/>
      <w:szCs w:val="18"/>
      <w:lang w:val="en-US" w:eastAsia="zh-CN" w:bidi="ar-SA"/>
    </w:rPr>
  </w:style>
  <w:style w:type="character" w:customStyle="1" w:styleId="62">
    <w:name w:val="页脚 Char"/>
    <w:basedOn w:val="45"/>
    <w:link w:val="27"/>
    <w:qFormat/>
    <w:uiPriority w:val="0"/>
    <w:rPr>
      <w:kern w:val="2"/>
      <w:sz w:val="18"/>
      <w:szCs w:val="18"/>
    </w:rPr>
  </w:style>
  <w:style w:type="character" w:customStyle="1" w:styleId="63">
    <w:name w:val="纯文本 Char"/>
    <w:link w:val="22"/>
    <w:qFormat/>
    <w:uiPriority w:val="0"/>
    <w:rPr>
      <w:rFonts w:ascii="宋体" w:hAnsi="Courier New" w:eastAsia="宋体"/>
      <w:kern w:val="2"/>
      <w:sz w:val="21"/>
      <w:lang w:val="en-US" w:eastAsia="zh-CN" w:bidi="ar-SA"/>
    </w:rPr>
  </w:style>
  <w:style w:type="character" w:customStyle="1" w:styleId="64">
    <w:name w:val="批注文字 Char"/>
    <w:link w:val="15"/>
    <w:qFormat/>
    <w:locked/>
    <w:uiPriority w:val="0"/>
    <w:rPr>
      <w:rFonts w:eastAsia="宋体"/>
      <w:kern w:val="2"/>
      <w:sz w:val="21"/>
      <w:szCs w:val="24"/>
      <w:lang w:val="en-US" w:eastAsia="zh-CN" w:bidi="ar-SA"/>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6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68">
    <w:name w:val="标题 Char"/>
    <w:link w:val="40"/>
    <w:qFormat/>
    <w:uiPriority w:val="0"/>
    <w:rPr>
      <w:rFonts w:ascii="Arial" w:hAnsi="Arial" w:eastAsia="宋体"/>
      <w:b/>
      <w:sz w:val="32"/>
      <w:lang w:val="en-US" w:eastAsia="zh-CN" w:bidi="ar-SA"/>
    </w:rPr>
  </w:style>
  <w:style w:type="character" w:customStyle="1" w:styleId="69">
    <w:name w:val="正文缩进 Char"/>
    <w:link w:val="12"/>
    <w:qFormat/>
    <w:uiPriority w:val="0"/>
    <w:rPr>
      <w:rFonts w:eastAsia="宋体"/>
      <w:kern w:val="2"/>
      <w:sz w:val="21"/>
      <w:szCs w:val="24"/>
      <w:lang w:val="en-US" w:eastAsia="zh-CN" w:bidi="ar-SA"/>
    </w:rPr>
  </w:style>
  <w:style w:type="paragraph" w:customStyle="1" w:styleId="70">
    <w:name w:val="1"/>
    <w:basedOn w:val="1"/>
    <w:qFormat/>
    <w:uiPriority w:val="0"/>
  </w:style>
  <w:style w:type="character" w:customStyle="1" w:styleId="71">
    <w:name w:val="font161"/>
    <w:qFormat/>
    <w:uiPriority w:val="0"/>
    <w:rPr>
      <w:b/>
      <w:bCs/>
      <w:sz w:val="32"/>
      <w:szCs w:val="32"/>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表格"/>
    <w:basedOn w:val="1"/>
    <w:qFormat/>
    <w:uiPriority w:val="0"/>
    <w:pPr>
      <w:jc w:val="center"/>
      <w:textAlignment w:val="center"/>
    </w:pPr>
    <w:rPr>
      <w:rFonts w:ascii="华文细黑" w:hAnsi="华文细黑"/>
      <w:kern w:val="0"/>
      <w:szCs w:val="20"/>
    </w:rPr>
  </w:style>
  <w:style w:type="paragraph" w:customStyle="1" w:styleId="74">
    <w:name w:val="表格文字"/>
    <w:basedOn w:val="1"/>
    <w:qFormat/>
    <w:uiPriority w:val="0"/>
    <w:pPr>
      <w:adjustRightInd w:val="0"/>
      <w:spacing w:line="420" w:lineRule="atLeast"/>
      <w:jc w:val="left"/>
      <w:textAlignment w:val="baseline"/>
    </w:pPr>
    <w:rPr>
      <w:kern w:val="0"/>
      <w:szCs w:val="20"/>
    </w:rPr>
  </w:style>
  <w:style w:type="paragraph" w:customStyle="1" w:styleId="75">
    <w:name w:val="默认段落字体 Para Char Char Char Char Char Char Char Char Char1 Char Char Char Char Char Char Char"/>
    <w:basedOn w:val="14"/>
    <w:qFormat/>
    <w:uiPriority w:val="0"/>
    <w:rPr>
      <w:rFonts w:ascii="Tahoma" w:hAnsi="Tahoma"/>
      <w:sz w:val="24"/>
    </w:rPr>
  </w:style>
  <w:style w:type="character" w:customStyle="1" w:styleId="76">
    <w:name w:val="标题 1.1 Char"/>
    <w:qFormat/>
    <w:uiPriority w:val="0"/>
    <w:rPr>
      <w:rFonts w:ascii="Arial" w:hAnsi="Arial" w:eastAsia="黑体"/>
      <w:b/>
      <w:bCs/>
      <w:kern w:val="2"/>
      <w:sz w:val="32"/>
      <w:szCs w:val="32"/>
      <w:lang w:val="en-US" w:eastAsia="zh-CN" w:bidi="ar-SA"/>
    </w:rPr>
  </w:style>
  <w:style w:type="paragraph" w:customStyle="1" w:styleId="77">
    <w:name w:val="Char Char Char Char Char Char Char Char Char Char Char Char Char"/>
    <w:basedOn w:val="1"/>
    <w:qFormat/>
    <w:uiPriority w:val="0"/>
    <w:rPr>
      <w:szCs w:val="20"/>
    </w:rPr>
  </w:style>
  <w:style w:type="paragraph" w:customStyle="1" w:styleId="78">
    <w:name w:val="Char"/>
    <w:basedOn w:val="1"/>
    <w:qFormat/>
    <w:uiPriority w:val="0"/>
    <w:rPr>
      <w:szCs w:val="20"/>
    </w:rPr>
  </w:style>
  <w:style w:type="paragraph" w:customStyle="1" w:styleId="79">
    <w:name w:val="Char Char Char Char Char Char Char Char Char Char"/>
    <w:basedOn w:val="1"/>
    <w:qFormat/>
    <w:uiPriority w:val="0"/>
    <w:pPr>
      <w:numPr>
        <w:ilvl w:val="4"/>
        <w:numId w:val="1"/>
      </w:numPr>
      <w:tabs>
        <w:tab w:val="clear" w:pos="2660"/>
      </w:tabs>
      <w:ind w:left="0" w:firstLine="0"/>
    </w:pPr>
    <w:rPr>
      <w:rFonts w:ascii="Tahoma" w:hAnsi="Tahoma"/>
      <w:sz w:val="24"/>
      <w:szCs w:val="20"/>
    </w:rPr>
  </w:style>
  <w:style w:type="paragraph" w:customStyle="1" w:styleId="80">
    <w:name w:val="样式 正文缩进正文（首行缩进两字）特点ALT+Z表正文正文非缩进四号段1Normal Indent Char2...4"/>
    <w:basedOn w:val="18"/>
    <w:qFormat/>
    <w:uiPriority w:val="0"/>
    <w:pPr>
      <w:tabs>
        <w:tab w:val="left" w:pos="510"/>
        <w:tab w:val="left" w:pos="2660"/>
      </w:tabs>
      <w:adjustRightInd w:val="0"/>
      <w:spacing w:line="300" w:lineRule="auto"/>
      <w:ind w:left="0" w:leftChars="0" w:hanging="420"/>
    </w:pPr>
    <w:rPr>
      <w:rFonts w:ascii="Courier New" w:hAnsi="Arial" w:cs="Courier New"/>
      <w:color w:val="000000"/>
      <w:kern w:val="0"/>
      <w:sz w:val="24"/>
      <w:szCs w:val="20"/>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样式1"/>
    <w:basedOn w:val="1"/>
    <w:next w:val="5"/>
    <w:qFormat/>
    <w:uiPriority w:val="0"/>
    <w:pPr>
      <w:spacing w:line="360" w:lineRule="auto"/>
      <w:ind w:firstLine="420" w:firstLineChars="200"/>
    </w:pPr>
    <w:rPr>
      <w:rFonts w:ascii="宋体" w:hAnsi="宋体"/>
      <w:szCs w:val="21"/>
    </w:rPr>
  </w:style>
  <w:style w:type="character" w:customStyle="1" w:styleId="83">
    <w:name w:val="Char Char24"/>
    <w:basedOn w:val="45"/>
    <w:qFormat/>
    <w:locked/>
    <w:uiPriority w:val="0"/>
    <w:rPr>
      <w:rFonts w:ascii="宋体" w:hAnsi="宋体" w:eastAsia="宋体"/>
      <w:szCs w:val="24"/>
      <w:lang w:bidi="ar-SA"/>
    </w:rPr>
  </w:style>
  <w:style w:type="character" w:customStyle="1" w:styleId="84">
    <w:name w:val="正文文本 2 Char"/>
    <w:basedOn w:val="45"/>
    <w:link w:val="36"/>
    <w:uiPriority w:val="0"/>
    <w:rPr>
      <w:rFonts w:ascii="宋体" w:hAnsi="宋体"/>
      <w:color w:val="000000"/>
      <w:sz w:val="18"/>
      <w:szCs w:val="18"/>
    </w:rPr>
  </w:style>
  <w:style w:type="character" w:customStyle="1" w:styleId="85">
    <w:name w:val="批注框文本 Char"/>
    <w:basedOn w:val="45"/>
    <w:link w:val="26"/>
    <w:qFormat/>
    <w:uiPriority w:val="0"/>
    <w:rPr>
      <w:kern w:val="2"/>
      <w:sz w:val="18"/>
      <w:szCs w:val="18"/>
    </w:rPr>
  </w:style>
  <w:style w:type="paragraph" w:styleId="86">
    <w:name w:val="List Paragraph"/>
    <w:basedOn w:val="1"/>
    <w:qFormat/>
    <w:uiPriority w:val="0"/>
    <w:pPr>
      <w:ind w:firstLine="420" w:firstLineChars="200"/>
    </w:pPr>
  </w:style>
  <w:style w:type="character" w:customStyle="1" w:styleId="87">
    <w:name w:val="Char Char12"/>
    <w:qFormat/>
    <w:locked/>
    <w:uiPriority w:val="0"/>
    <w:rPr>
      <w:rFonts w:ascii="宋体" w:hAnsi="宋体" w:eastAsia="宋体"/>
      <w:kern w:val="2"/>
      <w:sz w:val="21"/>
      <w:szCs w:val="24"/>
      <w:lang w:bidi="ar-SA"/>
    </w:rPr>
  </w:style>
  <w:style w:type="character" w:customStyle="1" w:styleId="88">
    <w:name w:val="批注主题 Char"/>
    <w:basedOn w:val="64"/>
    <w:link w:val="41"/>
    <w:qFormat/>
    <w:uiPriority w:val="0"/>
    <w:rPr>
      <w:b/>
      <w:bCs/>
    </w:rPr>
  </w:style>
  <w:style w:type="character" w:customStyle="1" w:styleId="89">
    <w:name w:val="Char Char3"/>
    <w:qFormat/>
    <w:locked/>
    <w:uiPriority w:val="0"/>
    <w:rPr>
      <w:rFonts w:ascii="宋体" w:hAnsi="宋体" w:eastAsia="宋体"/>
      <w:kern w:val="2"/>
      <w:sz w:val="21"/>
      <w:szCs w:val="24"/>
      <w:lang w:val="en-US" w:eastAsia="zh-CN" w:bidi="ar-SA"/>
    </w:rPr>
  </w:style>
  <w:style w:type="paragraph" w:customStyle="1" w:styleId="9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91">
    <w:name w:val="Char Char2"/>
    <w:qFormat/>
    <w:locked/>
    <w:uiPriority w:val="0"/>
    <w:rPr>
      <w:rFonts w:ascii="宋体" w:hAnsi="宋体" w:eastAsia="宋体"/>
      <w:kern w:val="2"/>
      <w:sz w:val="21"/>
      <w:szCs w:val="24"/>
      <w:lang w:val="en-US" w:eastAsia="zh-CN" w:bidi="ar-SA"/>
    </w:rPr>
  </w:style>
  <w:style w:type="character" w:customStyle="1" w:styleId="92">
    <w:name w:val="明显引用 Char"/>
    <w:link w:val="93"/>
    <w:qFormat/>
    <w:uiPriority w:val="0"/>
    <w:rPr>
      <w:b/>
      <w:bCs/>
      <w:i/>
      <w:iCs/>
      <w:color w:val="4F81BD"/>
      <w:kern w:val="2"/>
      <w:sz w:val="21"/>
      <w:szCs w:val="22"/>
      <w:lang w:bidi="ar-SA"/>
    </w:rPr>
  </w:style>
  <w:style w:type="paragraph" w:styleId="93">
    <w:name w:val="Intense Quote"/>
    <w:basedOn w:val="1"/>
    <w:next w:val="1"/>
    <w:link w:val="92"/>
    <w:qFormat/>
    <w:uiPriority w:val="0"/>
    <w:pPr>
      <w:pBdr>
        <w:bottom w:val="single" w:color="4F81BD" w:sz="4" w:space="4"/>
      </w:pBdr>
      <w:spacing w:before="200" w:after="280"/>
      <w:ind w:left="936" w:right="936"/>
    </w:pPr>
    <w:rPr>
      <w:b/>
      <w:bCs/>
      <w:i/>
      <w:iCs/>
      <w:color w:val="4F81BD"/>
      <w:szCs w:val="22"/>
    </w:rPr>
  </w:style>
  <w:style w:type="character" w:customStyle="1" w:styleId="94">
    <w:name w:val="书籍标题1"/>
    <w:qFormat/>
    <w:uiPriority w:val="0"/>
    <w:rPr>
      <w:b/>
      <w:bCs/>
      <w:smallCaps/>
      <w:spacing w:val="5"/>
    </w:rPr>
  </w:style>
  <w:style w:type="character" w:customStyle="1" w:styleId="95">
    <w:name w:val="副标题 Char"/>
    <w:link w:val="31"/>
    <w:uiPriority w:val="0"/>
    <w:rPr>
      <w:rFonts w:ascii="Cambria" w:hAnsi="Cambria"/>
      <w:b/>
      <w:bCs/>
      <w:kern w:val="28"/>
      <w:sz w:val="32"/>
      <w:szCs w:val="32"/>
      <w:lang w:bidi="ar-SA"/>
    </w:rPr>
  </w:style>
  <w:style w:type="character" w:customStyle="1" w:styleId="96">
    <w:name w:val="明显强调1"/>
    <w:qFormat/>
    <w:uiPriority w:val="0"/>
    <w:rPr>
      <w:b/>
      <w:bCs/>
      <w:i/>
      <w:iCs/>
      <w:color w:val="4F81BD"/>
    </w:rPr>
  </w:style>
  <w:style w:type="character" w:customStyle="1" w:styleId="97">
    <w:name w:val="Char Char17"/>
    <w:qFormat/>
    <w:uiPriority w:val="0"/>
    <w:rPr>
      <w:rFonts w:ascii="Cambria" w:hAnsi="Cambria" w:eastAsia="宋体" w:cs="Times New Roman"/>
      <w:b/>
      <w:bCs/>
      <w:kern w:val="2"/>
      <w:sz w:val="32"/>
      <w:szCs w:val="32"/>
    </w:rPr>
  </w:style>
  <w:style w:type="character" w:customStyle="1" w:styleId="98">
    <w:name w:val="标题5 Char Char"/>
    <w:link w:val="99"/>
    <w:qFormat/>
    <w:uiPriority w:val="0"/>
    <w:rPr>
      <w:rFonts w:ascii="Arial" w:hAnsi="Arial"/>
      <w:b/>
      <w:bCs/>
      <w:sz w:val="24"/>
      <w:szCs w:val="32"/>
      <w:lang w:bidi="ar-SA"/>
    </w:rPr>
  </w:style>
  <w:style w:type="paragraph" w:customStyle="1" w:styleId="99">
    <w:name w:val="标题5"/>
    <w:basedOn w:val="4"/>
    <w:link w:val="98"/>
    <w:qFormat/>
    <w:uiPriority w:val="0"/>
    <w:pPr>
      <w:spacing w:line="413" w:lineRule="auto"/>
    </w:pPr>
    <w:rPr>
      <w:rFonts w:ascii="Arial" w:hAnsi="Arial"/>
      <w:kern w:val="0"/>
      <w:sz w:val="24"/>
    </w:rPr>
  </w:style>
  <w:style w:type="character" w:customStyle="1" w:styleId="100">
    <w:name w:val="Char Char9"/>
    <w:uiPriority w:val="0"/>
    <w:rPr>
      <w:kern w:val="2"/>
      <w:sz w:val="21"/>
      <w:szCs w:val="22"/>
    </w:rPr>
  </w:style>
  <w:style w:type="character" w:customStyle="1" w:styleId="101">
    <w:name w:val="textcontents"/>
    <w:qFormat/>
    <w:uiPriority w:val="0"/>
    <w:rPr>
      <w:rFonts w:cs="Times New Roman"/>
    </w:rPr>
  </w:style>
  <w:style w:type="character" w:customStyle="1" w:styleId="102">
    <w:name w:val="不明显强调1"/>
    <w:qFormat/>
    <w:uiPriority w:val="0"/>
    <w:rPr>
      <w:i/>
      <w:iCs/>
      <w:color w:val="808080"/>
    </w:rPr>
  </w:style>
  <w:style w:type="character" w:customStyle="1" w:styleId="103">
    <w:name w:val="不明显参考1"/>
    <w:qFormat/>
    <w:uiPriority w:val="0"/>
    <w:rPr>
      <w:smallCaps/>
      <w:color w:val="C0504D"/>
      <w:u w:val="single"/>
    </w:rPr>
  </w:style>
  <w:style w:type="character" w:customStyle="1" w:styleId="104">
    <w:name w:val="日期 Char1"/>
    <w:qFormat/>
    <w:uiPriority w:val="0"/>
    <w:rPr>
      <w:kern w:val="2"/>
      <w:sz w:val="21"/>
      <w:szCs w:val="22"/>
    </w:rPr>
  </w:style>
  <w:style w:type="character" w:customStyle="1" w:styleId="105">
    <w:name w:val="正文文本 Char1"/>
    <w:uiPriority w:val="0"/>
    <w:rPr>
      <w:kern w:val="2"/>
      <w:sz w:val="21"/>
      <w:szCs w:val="22"/>
    </w:rPr>
  </w:style>
  <w:style w:type="character" w:customStyle="1" w:styleId="106">
    <w:name w:val="批注主题 Char1"/>
    <w:qFormat/>
    <w:uiPriority w:val="0"/>
    <w:rPr>
      <w:b/>
      <w:bCs/>
      <w:kern w:val="2"/>
      <w:sz w:val="21"/>
      <w:szCs w:val="22"/>
    </w:rPr>
  </w:style>
  <w:style w:type="character" w:customStyle="1" w:styleId="107">
    <w:name w:val="批注文字 Char Char"/>
    <w:qFormat/>
    <w:uiPriority w:val="0"/>
    <w:rPr>
      <w:rFonts w:ascii="宋体" w:hAnsi="Times New Roman" w:eastAsia="宋体" w:cs="Times New Roman"/>
      <w:sz w:val="28"/>
      <w:szCs w:val="20"/>
    </w:rPr>
  </w:style>
  <w:style w:type="character" w:customStyle="1" w:styleId="108">
    <w:name w:val="明显参考1"/>
    <w:qFormat/>
    <w:uiPriority w:val="0"/>
    <w:rPr>
      <w:b/>
      <w:bCs/>
      <w:smallCaps/>
      <w:color w:val="C0504D"/>
      <w:spacing w:val="5"/>
      <w:u w:val="single"/>
    </w:rPr>
  </w:style>
  <w:style w:type="character" w:customStyle="1" w:styleId="109">
    <w:name w:val="批注框文本 Char1"/>
    <w:uiPriority w:val="0"/>
    <w:rPr>
      <w:kern w:val="2"/>
      <w:sz w:val="18"/>
      <w:szCs w:val="18"/>
    </w:rPr>
  </w:style>
  <w:style w:type="character" w:customStyle="1" w:styleId="110">
    <w:name w:val="引用 Char"/>
    <w:link w:val="111"/>
    <w:qFormat/>
    <w:uiPriority w:val="0"/>
    <w:rPr>
      <w:i/>
      <w:iCs/>
      <w:color w:val="000000"/>
      <w:kern w:val="2"/>
      <w:sz w:val="21"/>
      <w:szCs w:val="22"/>
      <w:lang w:bidi="ar-SA"/>
    </w:rPr>
  </w:style>
  <w:style w:type="paragraph" w:styleId="111">
    <w:name w:val="Quote"/>
    <w:basedOn w:val="1"/>
    <w:next w:val="1"/>
    <w:link w:val="110"/>
    <w:qFormat/>
    <w:uiPriority w:val="0"/>
    <w:rPr>
      <w:i/>
      <w:iCs/>
      <w:color w:val="000000"/>
      <w:szCs w:val="22"/>
    </w:rPr>
  </w:style>
  <w:style w:type="character" w:customStyle="1" w:styleId="112">
    <w:name w:val="文档结构图 Char1"/>
    <w:qFormat/>
    <w:uiPriority w:val="0"/>
    <w:rPr>
      <w:rFonts w:ascii="宋体"/>
      <w:kern w:val="2"/>
      <w:sz w:val="18"/>
      <w:szCs w:val="18"/>
    </w:rPr>
  </w:style>
  <w:style w:type="paragraph" w:styleId="11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6">
    <w:name w:val="TOC 标题1"/>
    <w:basedOn w:val="2"/>
    <w:next w:val="1"/>
    <w:qFormat/>
    <w:uiPriority w:val="0"/>
    <w:pPr>
      <w:spacing w:line="576" w:lineRule="auto"/>
      <w:outlineLvl w:val="9"/>
    </w:pPr>
    <w:rPr>
      <w:rFonts w:ascii="Calibri" w:hAnsi="Calibri"/>
    </w:rPr>
  </w:style>
  <w:style w:type="paragraph" w:customStyle="1" w:styleId="117">
    <w:name w:val="修订1"/>
    <w:hidden/>
    <w:qFormat/>
    <w:uiPriority w:val="0"/>
    <w:rPr>
      <w:rFonts w:ascii="Times New Roman" w:hAnsi="Times New Roman" w:eastAsia="宋体" w:cs="Times New Roman"/>
      <w:kern w:val="2"/>
      <w:sz w:val="21"/>
      <w:szCs w:val="24"/>
      <w:lang w:val="en-US" w:eastAsia="zh-CN" w:bidi="ar-SA"/>
    </w:rPr>
  </w:style>
  <w:style w:type="character" w:customStyle="1" w:styleId="118">
    <w:name w:val="批注文字 Char1"/>
    <w:basedOn w:val="45"/>
    <w:qFormat/>
    <w:uiPriority w:val="99"/>
    <w:rPr>
      <w:rFonts w:ascii="Calibri" w:hAnsi="Calibri" w:eastAsia="宋体" w:cs="Times New Roman"/>
      <w:szCs w:val="21"/>
    </w:rPr>
  </w:style>
  <w:style w:type="character" w:customStyle="1" w:styleId="119">
    <w:name w:val="批注文字 Char3"/>
    <w:basedOn w:val="45"/>
    <w:qFormat/>
    <w:locked/>
    <w:uiPriority w:val="0"/>
    <w:rPr>
      <w:rFonts w:ascii="Times New Roman" w:hAnsi="Times New Roman" w:eastAsia="宋体" w:cs="Times New Roman"/>
      <w:szCs w:val="24"/>
    </w:rPr>
  </w:style>
  <w:style w:type="character" w:customStyle="1" w:styleId="120">
    <w:name w:val="标题4 Char Char"/>
    <w:qFormat/>
    <w:uiPriority w:val="0"/>
    <w:rPr>
      <w:rFonts w:ascii="Arial" w:hAnsi="Arial"/>
      <w:b/>
      <w:bCs/>
      <w:sz w:val="24"/>
      <w:szCs w:val="32"/>
    </w:rPr>
  </w:style>
  <w:style w:type="character" w:customStyle="1" w:styleId="121">
    <w:name w:val="日期 Char"/>
    <w:link w:val="24"/>
    <w:qFormat/>
    <w:uiPriority w:val="0"/>
    <w:rPr>
      <w:kern w:val="2"/>
      <w:sz w:val="21"/>
      <w:szCs w:val="24"/>
    </w:rPr>
  </w:style>
  <w:style w:type="character" w:customStyle="1" w:styleId="122">
    <w:name w:val="正文文本 Char"/>
    <w:link w:val="17"/>
    <w:qFormat/>
    <w:uiPriority w:val="0"/>
    <w:rPr>
      <w:kern w:val="2"/>
      <w:sz w:val="21"/>
      <w:szCs w:val="24"/>
    </w:rPr>
  </w:style>
  <w:style w:type="character" w:customStyle="1" w:styleId="123">
    <w:name w:val="文档结构图 Char"/>
    <w:link w:val="14"/>
    <w:qFormat/>
    <w:uiPriority w:val="0"/>
    <w:rPr>
      <w:kern w:val="2"/>
      <w:sz w:val="21"/>
      <w:szCs w:val="24"/>
      <w:shd w:val="clear" w:color="auto" w:fill="000080"/>
    </w:rPr>
  </w:style>
  <w:style w:type="character" w:customStyle="1" w:styleId="124">
    <w:name w:val="无"/>
    <w:qFormat/>
    <w:uiPriority w:val="0"/>
  </w:style>
  <w:style w:type="paragraph" w:customStyle="1" w:styleId="125">
    <w:name w:val="z正文"/>
    <w:basedOn w:val="22"/>
    <w:qFormat/>
    <w:uiPriority w:val="0"/>
    <w:pPr>
      <w:tabs>
        <w:tab w:val="left" w:pos="525"/>
      </w:tabs>
      <w:snapToGrid w:val="0"/>
      <w:spacing w:line="360" w:lineRule="auto"/>
    </w:pPr>
    <w:rPr>
      <w:rFonts w:ascii="Times New Roman"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5BBCE-1909-49AE-B18F-770BC296CA14}">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85</Pages>
  <Words>6624</Words>
  <Characters>37759</Characters>
  <Lines>314</Lines>
  <Paragraphs>88</Paragraphs>
  <TotalTime>8</TotalTime>
  <ScaleCrop>false</ScaleCrop>
  <LinksUpToDate>false</LinksUpToDate>
  <CharactersWithSpaces>44295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2019-08-14T03:48:00Z</dcterms:created>
  <dc:creator>科员</dc:creator>
  <cp:lastModifiedBy>hp</cp:lastModifiedBy>
  <cp:lastPrinted>2020-03-06T06:06:00Z</cp:lastPrinted>
  <dcterms:modified xsi:type="dcterms:W3CDTF">2020-12-04T03:55:25Z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